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D35E23" w14:textId="77777777" w:rsidR="007D7843" w:rsidRDefault="007D7843" w:rsidP="007D7843">
      <w:pPr>
        <w:jc w:val="right"/>
        <w:rPr>
          <w:rFonts w:ascii="ＭＳ Ｐ明朝" w:eastAsia="ＭＳ Ｐ明朝" w:hAnsi="ＭＳ Ｐ明朝"/>
        </w:rPr>
      </w:pPr>
      <w:r w:rsidRPr="007D7843">
        <w:rPr>
          <w:rFonts w:ascii="ＭＳ Ｐ明朝" w:eastAsia="ＭＳ Ｐ明朝" w:hAnsi="ＭＳ Ｐ明朝" w:hint="eastAsia"/>
        </w:rPr>
        <w:t>（別紙</w:t>
      </w:r>
      <w:r w:rsidR="00073950">
        <w:rPr>
          <w:rFonts w:ascii="ＭＳ Ｐ明朝" w:eastAsia="ＭＳ Ｐ明朝" w:hAnsi="ＭＳ Ｐ明朝" w:hint="eastAsia"/>
        </w:rPr>
        <w:t>１－３</w:t>
      </w:r>
      <w:r w:rsidRPr="007D7843">
        <w:rPr>
          <w:rFonts w:ascii="ＭＳ Ｐ明朝" w:eastAsia="ＭＳ Ｐ明朝" w:hAnsi="ＭＳ Ｐ明朝" w:hint="eastAsia"/>
        </w:rPr>
        <w:t>）</w:t>
      </w:r>
    </w:p>
    <w:p w14:paraId="64CF4778" w14:textId="77777777" w:rsidR="007D7843" w:rsidRPr="007D7843" w:rsidRDefault="007D7843" w:rsidP="007D7843">
      <w:pPr>
        <w:jc w:val="right"/>
        <w:rPr>
          <w:b/>
        </w:rPr>
      </w:pPr>
    </w:p>
    <w:p w14:paraId="7EF5AFDD" w14:textId="77777777" w:rsidR="00217D29" w:rsidRDefault="00217D29" w:rsidP="00217D29">
      <w:pPr>
        <w:numPr>
          <w:ilvl w:val="0"/>
          <w:numId w:val="1"/>
        </w:numPr>
        <w:rPr>
          <w:b/>
        </w:rPr>
      </w:pPr>
      <w:r w:rsidRPr="003C7A11">
        <w:rPr>
          <w:rFonts w:hint="eastAsia"/>
          <w:b/>
        </w:rPr>
        <w:t>ダイオキシン類対策特別措置法に基づく廃棄物の最終処分場の維持管理の基準を定める省令</w:t>
      </w:r>
    </w:p>
    <w:p w14:paraId="3268B95B" w14:textId="77777777" w:rsidR="007D7843" w:rsidRPr="003C7A11" w:rsidRDefault="007D7843" w:rsidP="007D7843">
      <w:pPr>
        <w:rPr>
          <w:b/>
        </w:rPr>
      </w:pPr>
    </w:p>
    <w:p w14:paraId="769BAC80" w14:textId="77777777" w:rsidR="00217D29" w:rsidRDefault="00217D29" w:rsidP="00217D29">
      <w:pPr>
        <w:ind w:left="210" w:hangingChars="100" w:hanging="210"/>
      </w:pPr>
      <w:r>
        <w:rPr>
          <w:rFonts w:hint="eastAsia"/>
        </w:rPr>
        <w:t>第一条　ダイオキシン類対策特別措置法</w:t>
      </w:r>
      <w:r>
        <w:t xml:space="preserve"> </w:t>
      </w:r>
      <w:r>
        <w:rPr>
          <w:rFonts w:hint="eastAsia"/>
        </w:rPr>
        <w:t>（平成十一年法律第百五号）第二十五条第一項</w:t>
      </w:r>
      <w:r>
        <w:t xml:space="preserve"> </w:t>
      </w:r>
      <w:r>
        <w:rPr>
          <w:rFonts w:hint="eastAsia"/>
        </w:rPr>
        <w:t>の規定による一般廃棄物の最終処分場（廃棄物の処理及び清掃に関する法律</w:t>
      </w:r>
      <w:r>
        <w:t xml:space="preserve"> </w:t>
      </w:r>
      <w:r>
        <w:rPr>
          <w:rFonts w:hint="eastAsia"/>
        </w:rPr>
        <w:t>（昭和四十五年法律第百三十七号。以下「廃棄物処理法」という。）第八条第一項</w:t>
      </w:r>
      <w:r>
        <w:t xml:space="preserve"> </w:t>
      </w:r>
      <w:r>
        <w:rPr>
          <w:rFonts w:hint="eastAsia"/>
        </w:rPr>
        <w:t>の許可を受け、又は同法第九条の三第一項</w:t>
      </w:r>
      <w:r>
        <w:t xml:space="preserve"> </w:t>
      </w:r>
      <w:r>
        <w:rPr>
          <w:rFonts w:hint="eastAsia"/>
        </w:rPr>
        <w:t>の届出がされたものに限る。）及び産業廃棄物の最終処分場（廃棄物の処理及び清掃に関する法律施行令</w:t>
      </w:r>
      <w:r>
        <w:t xml:space="preserve"> </w:t>
      </w:r>
      <w:r>
        <w:rPr>
          <w:rFonts w:hint="eastAsia"/>
        </w:rPr>
        <w:t>（昭和四十六年政令第三百号）第七条第十四号</w:t>
      </w:r>
      <w:r>
        <w:t xml:space="preserve"> </w:t>
      </w:r>
      <w:r>
        <w:rPr>
          <w:rFonts w:hint="eastAsia"/>
        </w:rPr>
        <w:t>ハに掲げるものであって、廃棄物処理法第十五条第一項</w:t>
      </w:r>
      <w:r>
        <w:t xml:space="preserve"> </w:t>
      </w:r>
      <w:r>
        <w:rPr>
          <w:rFonts w:hint="eastAsia"/>
        </w:rPr>
        <w:t>の許可を受けたものに限る。）（以下単に「最終処分場」という。）の維持管理の基準は、次のとおりとする。</w:t>
      </w:r>
      <w:r>
        <w:t xml:space="preserve"> </w:t>
      </w:r>
    </w:p>
    <w:p w14:paraId="4D359F8A" w14:textId="77777777" w:rsidR="00217D29" w:rsidRDefault="00217D29" w:rsidP="00217D29">
      <w:pPr>
        <w:ind w:leftChars="100" w:left="420" w:hangingChars="100" w:hanging="210"/>
      </w:pPr>
      <w:r>
        <w:rPr>
          <w:rFonts w:hint="eastAsia"/>
        </w:rPr>
        <w:t>一　埋立地からの浸出液による最終処分場の周縁の地下水の水質への影響の有無を判断することができる二以上の場所から採取され、又は地下水集排水設備により排出された地下水（水面埋立処分を行う最終処分場にあっては、埋立地からの浸出液による最終処分場の周辺の水域の水又は周縁の地下水の水質への影響の有無を判断することができる二以上の場所から採取された当該水域の水又は当該地下水）の水質検査を次により行うこと。</w:t>
      </w:r>
    </w:p>
    <w:p w14:paraId="1D36407C" w14:textId="77777777" w:rsidR="00217D29" w:rsidRDefault="00217D29" w:rsidP="00217D29">
      <w:pPr>
        <w:ind w:firstLineChars="200" w:firstLine="420"/>
      </w:pPr>
      <w:r>
        <w:rPr>
          <w:rFonts w:hint="eastAsia"/>
        </w:rPr>
        <w:t>イ　埋立処分開始前にダイオキシン類の濃度を測定し、かつ、記録すること。</w:t>
      </w:r>
    </w:p>
    <w:p w14:paraId="4554963C" w14:textId="77777777" w:rsidR="00217D29" w:rsidRDefault="00217D29" w:rsidP="00217D29">
      <w:pPr>
        <w:ind w:leftChars="200" w:left="630" w:hangingChars="100" w:hanging="210"/>
      </w:pPr>
      <w:r>
        <w:rPr>
          <w:rFonts w:hint="eastAsia"/>
        </w:rPr>
        <w:t>ロ　埋立処分開始後、一年に一回以上ダイオキシン類の濃度を測定し、かつ、記録すること。ただし、埋め立てる廃棄物の種類並びに廃棄物の保有水及び雨水等（以下「保有水等」という。）の集排水設備により集められた保有水等の水質に照らしてダイオキシン類による最終処分場周縁の地下水（水面埋立処分を行う最終処分場にあっては、周辺の水域の水又は周縁の地下水）の汚染が生ずるおそれがないことが明らかな場合は、この限りでない。</w:t>
      </w:r>
    </w:p>
    <w:p w14:paraId="591456AF" w14:textId="77777777" w:rsidR="00217D29" w:rsidRDefault="00217D29" w:rsidP="00217D29">
      <w:pPr>
        <w:ind w:leftChars="200" w:left="630" w:hangingChars="100" w:hanging="210"/>
      </w:pPr>
      <w:r>
        <w:rPr>
          <w:rFonts w:hint="eastAsia"/>
        </w:rPr>
        <w:t>ハ　一般廃棄物の最終処分場及び産業廃棄物の最終処分場に係る技術上の基準を定める省令（昭和五十二年総理府・厚生省令第一号。以下「基準省令」という。）第一条第二項第十号ハ（同令第二条第二項第三号において例による場合を含む。）の規定により測定した電気伝導率又は塩化物イオンの濃度に異状が認められた場合には、速やかに、ダイオキシン類の濃度を測定し、かつ、記録すること。</w:t>
      </w:r>
    </w:p>
    <w:p w14:paraId="7C4E5E13" w14:textId="77777777" w:rsidR="00217D29" w:rsidRDefault="00217D29" w:rsidP="00217D29">
      <w:pPr>
        <w:ind w:leftChars="100" w:left="420" w:hangingChars="100" w:hanging="210"/>
      </w:pPr>
      <w:r>
        <w:rPr>
          <w:rFonts w:hint="eastAsia"/>
        </w:rPr>
        <w:t>二　前号の規定によるダイオキシン類に係る水質検査の結果、ダイオキシン類による汚染（その原因が当該最終処分場以外にあることが明らかであるものを除く。）が認められた場合には、その原因の調査その他の生活環境の保全上必要な措置を講ずること。</w:t>
      </w:r>
      <w:r>
        <w:t xml:space="preserve"> </w:t>
      </w:r>
    </w:p>
    <w:p w14:paraId="657BEB52" w14:textId="77777777" w:rsidR="00217D29" w:rsidRDefault="00217D29" w:rsidP="00217D29">
      <w:pPr>
        <w:ind w:leftChars="100" w:left="420" w:hangingChars="100" w:hanging="210"/>
      </w:pPr>
      <w:r>
        <w:rPr>
          <w:rFonts w:hint="eastAsia"/>
        </w:rPr>
        <w:t>三　基準省令第一条第一項第五号ヘ（同令第二条第一項第四号において例による場合を含む。）の規定により設けられた浸出液処理設備の維持管理は、次により行うこと。</w:t>
      </w:r>
    </w:p>
    <w:p w14:paraId="5DFFA2B2" w14:textId="77777777" w:rsidR="00217D29" w:rsidRDefault="00217D29" w:rsidP="00217D29">
      <w:pPr>
        <w:ind w:leftChars="200" w:left="630" w:hangingChars="100" w:hanging="210"/>
      </w:pPr>
      <w:r>
        <w:rPr>
          <w:rFonts w:hint="eastAsia"/>
        </w:rPr>
        <w:t>イ　放流水の水質がダイオキシン類対策特別措置法施行規則</w:t>
      </w:r>
      <w:r>
        <w:t xml:space="preserve"> </w:t>
      </w:r>
      <w:r>
        <w:rPr>
          <w:rFonts w:hint="eastAsia"/>
        </w:rPr>
        <w:t>（平成十一年総理府令第六十七号）別表第二の下欄に定めるダイオキシン類の許容限度（廃棄物処理法第八条第二項第七号</w:t>
      </w:r>
      <w:r>
        <w:t xml:space="preserve"> </w:t>
      </w:r>
      <w:r>
        <w:rPr>
          <w:rFonts w:hint="eastAsia"/>
        </w:rPr>
        <w:t>に規定する一般廃棄物処理施設の維持管理に関する計画又は同法第十五条第二項第七号</w:t>
      </w:r>
      <w:r>
        <w:t xml:space="preserve"> </w:t>
      </w:r>
      <w:r>
        <w:rPr>
          <w:rFonts w:hint="eastAsia"/>
        </w:rPr>
        <w:t>に規定する産業廃棄物処理施設の維持管理に関する計画においてより厳しい数値を達成することとした場合にあっては、当該数値）に適合することとなるように維持管理すること。</w:t>
      </w:r>
    </w:p>
    <w:p w14:paraId="331174CF" w14:textId="77777777" w:rsidR="00217D29" w:rsidRDefault="00217D29" w:rsidP="00217D29">
      <w:pPr>
        <w:ind w:firstLineChars="200" w:firstLine="420"/>
      </w:pPr>
      <w:r>
        <w:rPr>
          <w:rFonts w:hint="eastAsia"/>
        </w:rPr>
        <w:t>ロ　放流水についてダイオキシン類に係る水質検査を一年に一回以上行い、かつ、記録すること。</w:t>
      </w:r>
    </w:p>
    <w:p w14:paraId="3FBB037D" w14:textId="77777777" w:rsidR="00217D29" w:rsidRDefault="00217D29" w:rsidP="00217D29">
      <w:r>
        <w:rPr>
          <w:rFonts w:hint="eastAsia"/>
        </w:rPr>
        <w:t>第二条　前条第一号及び第三号ロの規定による水質検査は、環境大臣が定める方法によるものとする。</w:t>
      </w:r>
    </w:p>
    <w:p w14:paraId="0481A788" w14:textId="77777777" w:rsidR="00964175" w:rsidRPr="00964175" w:rsidRDefault="00964175" w:rsidP="00073950">
      <w:pPr>
        <w:ind w:right="840"/>
      </w:pPr>
    </w:p>
    <w:sectPr w:rsidR="00964175" w:rsidRPr="00964175" w:rsidSect="00211F67">
      <w:pgSz w:w="11906" w:h="16838" w:code="9"/>
      <w:pgMar w:top="1260" w:right="1134" w:bottom="900"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BB0FAF"/>
    <w:multiLevelType w:val="hybridMultilevel"/>
    <w:tmpl w:val="BE902A62"/>
    <w:lvl w:ilvl="0" w:tplc="5AFCDFA8">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D6089"/>
    <w:rsid w:val="00013CAD"/>
    <w:rsid w:val="00073950"/>
    <w:rsid w:val="0013305F"/>
    <w:rsid w:val="00152B08"/>
    <w:rsid w:val="00211F67"/>
    <w:rsid w:val="00217D29"/>
    <w:rsid w:val="0022689E"/>
    <w:rsid w:val="003C6166"/>
    <w:rsid w:val="003C7A11"/>
    <w:rsid w:val="004833B0"/>
    <w:rsid w:val="00544648"/>
    <w:rsid w:val="007A679C"/>
    <w:rsid w:val="007D7843"/>
    <w:rsid w:val="00802C0D"/>
    <w:rsid w:val="00830D8A"/>
    <w:rsid w:val="00891E4B"/>
    <w:rsid w:val="008963D0"/>
    <w:rsid w:val="00964175"/>
    <w:rsid w:val="00964C76"/>
    <w:rsid w:val="009D5E9C"/>
    <w:rsid w:val="009E746C"/>
    <w:rsid w:val="00A72274"/>
    <w:rsid w:val="00AA318D"/>
    <w:rsid w:val="00B00FF1"/>
    <w:rsid w:val="00B2649A"/>
    <w:rsid w:val="00B624B0"/>
    <w:rsid w:val="00B76399"/>
    <w:rsid w:val="00B80174"/>
    <w:rsid w:val="00C2116D"/>
    <w:rsid w:val="00C34CA5"/>
    <w:rsid w:val="00ED6089"/>
    <w:rsid w:val="00F37F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C3BFC03"/>
  <w14:defaultImageDpi w14:val="0"/>
  <w15:docId w15:val="{2130250D-D682-40C5-972F-C050DEDAD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54464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1817254">
      <w:marLeft w:val="0"/>
      <w:marRight w:val="0"/>
      <w:marTop w:val="0"/>
      <w:marBottom w:val="0"/>
      <w:divBdr>
        <w:top w:val="none" w:sz="0" w:space="0" w:color="auto"/>
        <w:left w:val="none" w:sz="0" w:space="0" w:color="auto"/>
        <w:bottom w:val="none" w:sz="0" w:space="0" w:color="auto"/>
        <w:right w:val="none" w:sz="0" w:space="0" w:color="auto"/>
      </w:divBdr>
      <w:divsChild>
        <w:div w:id="551817263">
          <w:marLeft w:val="240"/>
          <w:marRight w:val="0"/>
          <w:marTop w:val="0"/>
          <w:marBottom w:val="0"/>
          <w:divBdr>
            <w:top w:val="none" w:sz="0" w:space="0" w:color="auto"/>
            <w:left w:val="none" w:sz="0" w:space="0" w:color="auto"/>
            <w:bottom w:val="none" w:sz="0" w:space="0" w:color="auto"/>
            <w:right w:val="none" w:sz="0" w:space="0" w:color="auto"/>
          </w:divBdr>
          <w:divsChild>
            <w:div w:id="551817242">
              <w:marLeft w:val="240"/>
              <w:marRight w:val="0"/>
              <w:marTop w:val="0"/>
              <w:marBottom w:val="0"/>
              <w:divBdr>
                <w:top w:val="none" w:sz="0" w:space="0" w:color="auto"/>
                <w:left w:val="none" w:sz="0" w:space="0" w:color="auto"/>
                <w:bottom w:val="none" w:sz="0" w:space="0" w:color="auto"/>
                <w:right w:val="none" w:sz="0" w:space="0" w:color="auto"/>
              </w:divBdr>
            </w:div>
            <w:div w:id="551817245">
              <w:marLeft w:val="240"/>
              <w:marRight w:val="0"/>
              <w:marTop w:val="0"/>
              <w:marBottom w:val="0"/>
              <w:divBdr>
                <w:top w:val="none" w:sz="0" w:space="0" w:color="auto"/>
                <w:left w:val="none" w:sz="0" w:space="0" w:color="auto"/>
                <w:bottom w:val="none" w:sz="0" w:space="0" w:color="auto"/>
                <w:right w:val="none" w:sz="0" w:space="0" w:color="auto"/>
              </w:divBdr>
            </w:div>
            <w:div w:id="551817249">
              <w:marLeft w:val="240"/>
              <w:marRight w:val="0"/>
              <w:marTop w:val="0"/>
              <w:marBottom w:val="0"/>
              <w:divBdr>
                <w:top w:val="none" w:sz="0" w:space="0" w:color="auto"/>
                <w:left w:val="none" w:sz="0" w:space="0" w:color="auto"/>
                <w:bottom w:val="none" w:sz="0" w:space="0" w:color="auto"/>
                <w:right w:val="none" w:sz="0" w:space="0" w:color="auto"/>
              </w:divBdr>
              <w:divsChild>
                <w:div w:id="551817247">
                  <w:marLeft w:val="240"/>
                  <w:marRight w:val="0"/>
                  <w:marTop w:val="0"/>
                  <w:marBottom w:val="0"/>
                  <w:divBdr>
                    <w:top w:val="none" w:sz="0" w:space="0" w:color="auto"/>
                    <w:left w:val="none" w:sz="0" w:space="0" w:color="auto"/>
                    <w:bottom w:val="none" w:sz="0" w:space="0" w:color="auto"/>
                    <w:right w:val="none" w:sz="0" w:space="0" w:color="auto"/>
                  </w:divBdr>
                </w:div>
                <w:div w:id="551817251">
                  <w:marLeft w:val="240"/>
                  <w:marRight w:val="0"/>
                  <w:marTop w:val="0"/>
                  <w:marBottom w:val="0"/>
                  <w:divBdr>
                    <w:top w:val="none" w:sz="0" w:space="0" w:color="auto"/>
                    <w:left w:val="none" w:sz="0" w:space="0" w:color="auto"/>
                    <w:bottom w:val="none" w:sz="0" w:space="0" w:color="auto"/>
                    <w:right w:val="none" w:sz="0" w:space="0" w:color="auto"/>
                  </w:divBdr>
                </w:div>
              </w:divsChild>
            </w:div>
            <w:div w:id="551817252">
              <w:marLeft w:val="240"/>
              <w:marRight w:val="0"/>
              <w:marTop w:val="0"/>
              <w:marBottom w:val="0"/>
              <w:divBdr>
                <w:top w:val="none" w:sz="0" w:space="0" w:color="auto"/>
                <w:left w:val="none" w:sz="0" w:space="0" w:color="auto"/>
                <w:bottom w:val="none" w:sz="0" w:space="0" w:color="auto"/>
                <w:right w:val="none" w:sz="0" w:space="0" w:color="auto"/>
              </w:divBdr>
            </w:div>
            <w:div w:id="551817253">
              <w:marLeft w:val="240"/>
              <w:marRight w:val="0"/>
              <w:marTop w:val="0"/>
              <w:marBottom w:val="0"/>
              <w:divBdr>
                <w:top w:val="none" w:sz="0" w:space="0" w:color="auto"/>
                <w:left w:val="none" w:sz="0" w:space="0" w:color="auto"/>
                <w:bottom w:val="none" w:sz="0" w:space="0" w:color="auto"/>
                <w:right w:val="none" w:sz="0" w:space="0" w:color="auto"/>
              </w:divBdr>
              <w:divsChild>
                <w:div w:id="551817240">
                  <w:marLeft w:val="240"/>
                  <w:marRight w:val="0"/>
                  <w:marTop w:val="0"/>
                  <w:marBottom w:val="0"/>
                  <w:divBdr>
                    <w:top w:val="none" w:sz="0" w:space="0" w:color="auto"/>
                    <w:left w:val="none" w:sz="0" w:space="0" w:color="auto"/>
                    <w:bottom w:val="none" w:sz="0" w:space="0" w:color="auto"/>
                    <w:right w:val="none" w:sz="0" w:space="0" w:color="auto"/>
                  </w:divBdr>
                </w:div>
                <w:div w:id="551817241">
                  <w:marLeft w:val="240"/>
                  <w:marRight w:val="0"/>
                  <w:marTop w:val="0"/>
                  <w:marBottom w:val="0"/>
                  <w:divBdr>
                    <w:top w:val="none" w:sz="0" w:space="0" w:color="auto"/>
                    <w:left w:val="none" w:sz="0" w:space="0" w:color="auto"/>
                    <w:bottom w:val="none" w:sz="0" w:space="0" w:color="auto"/>
                    <w:right w:val="none" w:sz="0" w:space="0" w:color="auto"/>
                  </w:divBdr>
                </w:div>
                <w:div w:id="551817243">
                  <w:marLeft w:val="480"/>
                  <w:marRight w:val="0"/>
                  <w:marTop w:val="0"/>
                  <w:marBottom w:val="0"/>
                  <w:divBdr>
                    <w:top w:val="none" w:sz="0" w:space="0" w:color="auto"/>
                    <w:left w:val="none" w:sz="0" w:space="0" w:color="auto"/>
                    <w:bottom w:val="none" w:sz="0" w:space="0" w:color="auto"/>
                    <w:right w:val="none" w:sz="0" w:space="0" w:color="auto"/>
                  </w:divBdr>
                </w:div>
                <w:div w:id="551817244">
                  <w:marLeft w:val="480"/>
                  <w:marRight w:val="0"/>
                  <w:marTop w:val="0"/>
                  <w:marBottom w:val="0"/>
                  <w:divBdr>
                    <w:top w:val="none" w:sz="0" w:space="0" w:color="auto"/>
                    <w:left w:val="none" w:sz="0" w:space="0" w:color="auto"/>
                    <w:bottom w:val="none" w:sz="0" w:space="0" w:color="auto"/>
                    <w:right w:val="none" w:sz="0" w:space="0" w:color="auto"/>
                  </w:divBdr>
                </w:div>
                <w:div w:id="551817246">
                  <w:marLeft w:val="480"/>
                  <w:marRight w:val="0"/>
                  <w:marTop w:val="0"/>
                  <w:marBottom w:val="0"/>
                  <w:divBdr>
                    <w:top w:val="none" w:sz="0" w:space="0" w:color="auto"/>
                    <w:left w:val="none" w:sz="0" w:space="0" w:color="auto"/>
                    <w:bottom w:val="none" w:sz="0" w:space="0" w:color="auto"/>
                    <w:right w:val="none" w:sz="0" w:space="0" w:color="auto"/>
                  </w:divBdr>
                </w:div>
                <w:div w:id="551817248">
                  <w:marLeft w:val="240"/>
                  <w:marRight w:val="0"/>
                  <w:marTop w:val="0"/>
                  <w:marBottom w:val="0"/>
                  <w:divBdr>
                    <w:top w:val="none" w:sz="0" w:space="0" w:color="auto"/>
                    <w:left w:val="none" w:sz="0" w:space="0" w:color="auto"/>
                    <w:bottom w:val="none" w:sz="0" w:space="0" w:color="auto"/>
                    <w:right w:val="none" w:sz="0" w:space="0" w:color="auto"/>
                  </w:divBdr>
                </w:div>
                <w:div w:id="551817250">
                  <w:marLeft w:val="480"/>
                  <w:marRight w:val="0"/>
                  <w:marTop w:val="0"/>
                  <w:marBottom w:val="0"/>
                  <w:divBdr>
                    <w:top w:val="none" w:sz="0" w:space="0" w:color="auto"/>
                    <w:left w:val="none" w:sz="0" w:space="0" w:color="auto"/>
                    <w:bottom w:val="none" w:sz="0" w:space="0" w:color="auto"/>
                    <w:right w:val="none" w:sz="0" w:space="0" w:color="auto"/>
                  </w:divBdr>
                </w:div>
                <w:div w:id="551817255">
                  <w:marLeft w:val="240"/>
                  <w:marRight w:val="0"/>
                  <w:marTop w:val="0"/>
                  <w:marBottom w:val="0"/>
                  <w:divBdr>
                    <w:top w:val="none" w:sz="0" w:space="0" w:color="auto"/>
                    <w:left w:val="none" w:sz="0" w:space="0" w:color="auto"/>
                    <w:bottom w:val="none" w:sz="0" w:space="0" w:color="auto"/>
                    <w:right w:val="none" w:sz="0" w:space="0" w:color="auto"/>
                  </w:divBdr>
                </w:div>
                <w:div w:id="551817256">
                  <w:marLeft w:val="720"/>
                  <w:marRight w:val="0"/>
                  <w:marTop w:val="0"/>
                  <w:marBottom w:val="0"/>
                  <w:divBdr>
                    <w:top w:val="none" w:sz="0" w:space="0" w:color="auto"/>
                    <w:left w:val="none" w:sz="0" w:space="0" w:color="auto"/>
                    <w:bottom w:val="none" w:sz="0" w:space="0" w:color="auto"/>
                    <w:right w:val="none" w:sz="0" w:space="0" w:color="auto"/>
                  </w:divBdr>
                </w:div>
                <w:div w:id="551817258">
                  <w:marLeft w:val="720"/>
                  <w:marRight w:val="0"/>
                  <w:marTop w:val="0"/>
                  <w:marBottom w:val="0"/>
                  <w:divBdr>
                    <w:top w:val="none" w:sz="0" w:space="0" w:color="auto"/>
                    <w:left w:val="none" w:sz="0" w:space="0" w:color="auto"/>
                    <w:bottom w:val="none" w:sz="0" w:space="0" w:color="auto"/>
                    <w:right w:val="none" w:sz="0" w:space="0" w:color="auto"/>
                  </w:divBdr>
                </w:div>
                <w:div w:id="551817259">
                  <w:marLeft w:val="480"/>
                  <w:marRight w:val="0"/>
                  <w:marTop w:val="0"/>
                  <w:marBottom w:val="0"/>
                  <w:divBdr>
                    <w:top w:val="none" w:sz="0" w:space="0" w:color="auto"/>
                    <w:left w:val="none" w:sz="0" w:space="0" w:color="auto"/>
                    <w:bottom w:val="none" w:sz="0" w:space="0" w:color="auto"/>
                    <w:right w:val="none" w:sz="0" w:space="0" w:color="auto"/>
                  </w:divBdr>
                </w:div>
                <w:div w:id="551817260">
                  <w:marLeft w:val="480"/>
                  <w:marRight w:val="0"/>
                  <w:marTop w:val="0"/>
                  <w:marBottom w:val="0"/>
                  <w:divBdr>
                    <w:top w:val="none" w:sz="0" w:space="0" w:color="auto"/>
                    <w:left w:val="none" w:sz="0" w:space="0" w:color="auto"/>
                    <w:bottom w:val="none" w:sz="0" w:space="0" w:color="auto"/>
                    <w:right w:val="none" w:sz="0" w:space="0" w:color="auto"/>
                  </w:divBdr>
                </w:div>
                <w:div w:id="551817261">
                  <w:marLeft w:val="480"/>
                  <w:marRight w:val="0"/>
                  <w:marTop w:val="0"/>
                  <w:marBottom w:val="0"/>
                  <w:divBdr>
                    <w:top w:val="none" w:sz="0" w:space="0" w:color="auto"/>
                    <w:left w:val="none" w:sz="0" w:space="0" w:color="auto"/>
                    <w:bottom w:val="none" w:sz="0" w:space="0" w:color="auto"/>
                    <w:right w:val="none" w:sz="0" w:space="0" w:color="auto"/>
                  </w:divBdr>
                </w:div>
                <w:div w:id="551817262">
                  <w:marLeft w:val="720"/>
                  <w:marRight w:val="0"/>
                  <w:marTop w:val="0"/>
                  <w:marBottom w:val="0"/>
                  <w:divBdr>
                    <w:top w:val="none" w:sz="0" w:space="0" w:color="auto"/>
                    <w:left w:val="none" w:sz="0" w:space="0" w:color="auto"/>
                    <w:bottom w:val="none" w:sz="0" w:space="0" w:color="auto"/>
                    <w:right w:val="none" w:sz="0" w:space="0" w:color="auto"/>
                  </w:divBdr>
                </w:div>
                <w:div w:id="551817264">
                  <w:marLeft w:val="240"/>
                  <w:marRight w:val="0"/>
                  <w:marTop w:val="0"/>
                  <w:marBottom w:val="0"/>
                  <w:divBdr>
                    <w:top w:val="none" w:sz="0" w:space="0" w:color="auto"/>
                    <w:left w:val="none" w:sz="0" w:space="0" w:color="auto"/>
                    <w:bottom w:val="none" w:sz="0" w:space="0" w:color="auto"/>
                    <w:right w:val="none" w:sz="0" w:space="0" w:color="auto"/>
                  </w:divBdr>
                </w:div>
                <w:div w:id="551817265">
                  <w:marLeft w:val="240"/>
                  <w:marRight w:val="0"/>
                  <w:marTop w:val="0"/>
                  <w:marBottom w:val="0"/>
                  <w:divBdr>
                    <w:top w:val="none" w:sz="0" w:space="0" w:color="auto"/>
                    <w:left w:val="none" w:sz="0" w:space="0" w:color="auto"/>
                    <w:bottom w:val="none" w:sz="0" w:space="0" w:color="auto"/>
                    <w:right w:val="none" w:sz="0" w:space="0" w:color="auto"/>
                  </w:divBdr>
                </w:div>
                <w:div w:id="551817266">
                  <w:marLeft w:val="240"/>
                  <w:marRight w:val="0"/>
                  <w:marTop w:val="0"/>
                  <w:marBottom w:val="0"/>
                  <w:divBdr>
                    <w:top w:val="none" w:sz="0" w:space="0" w:color="auto"/>
                    <w:left w:val="none" w:sz="0" w:space="0" w:color="auto"/>
                    <w:bottom w:val="none" w:sz="0" w:space="0" w:color="auto"/>
                    <w:right w:val="none" w:sz="0" w:space="0" w:color="auto"/>
                  </w:divBdr>
                </w:div>
              </w:divsChild>
            </w:div>
            <w:div w:id="55181725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216</Words>
  <Characters>1232</Characters>
  <Application>Microsoft Office Word</Application>
  <DocSecurity>0</DocSecurity>
  <Lines>10</Lines>
  <Paragraphs>2</Paragraphs>
  <ScaleCrop>false</ScaleCrop>
  <Company> </Company>
  <LinksUpToDate>false</LinksUpToDate>
  <CharactersWithSpaces>1446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　</dc:creator>
  <cp:keywords/>
  <dc:description/>
  <cp:lastModifiedBy>原 聡志</cp:lastModifiedBy>
  <cp:revision>2</cp:revision>
  <cp:lastPrinted>2013-03-19T02:23:00Z</cp:lastPrinted>
  <dcterms:created xsi:type="dcterms:W3CDTF">2022-03-03T06:35:00Z</dcterms:created>
  <dcterms:modified xsi:type="dcterms:W3CDTF">2022-03-03T06:35:00Z</dcterms:modified>
</cp:coreProperties>
</file>