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C4C9" w14:textId="77777777" w:rsidR="009D5E9C" w:rsidRDefault="007D7843" w:rsidP="007D7843">
      <w:pPr>
        <w:jc w:val="right"/>
        <w:rPr>
          <w:rFonts w:ascii="ＭＳ Ｐ明朝" w:eastAsia="ＭＳ Ｐ明朝" w:hAnsi="ＭＳ Ｐ明朝"/>
        </w:rPr>
      </w:pPr>
      <w:r w:rsidRPr="007D7843">
        <w:rPr>
          <w:rFonts w:ascii="ＭＳ Ｐ明朝" w:eastAsia="ＭＳ Ｐ明朝" w:hAnsi="ＭＳ Ｐ明朝" w:hint="eastAsia"/>
        </w:rPr>
        <w:t>（別紙</w:t>
      </w:r>
      <w:r>
        <w:rPr>
          <w:rFonts w:ascii="ＭＳ Ｐ明朝" w:eastAsia="ＭＳ Ｐ明朝" w:hAnsi="ＭＳ Ｐ明朝" w:hint="eastAsia"/>
        </w:rPr>
        <w:t>１－</w:t>
      </w:r>
      <w:r w:rsidR="00B00FF1">
        <w:rPr>
          <w:rFonts w:ascii="ＭＳ Ｐ明朝" w:eastAsia="ＭＳ Ｐ明朝" w:hAnsi="ＭＳ Ｐ明朝"/>
        </w:rPr>
        <w:t>2</w:t>
      </w:r>
      <w:r w:rsidRPr="007D7843">
        <w:rPr>
          <w:rFonts w:ascii="ＭＳ Ｐ明朝" w:eastAsia="ＭＳ Ｐ明朝" w:hAnsi="ＭＳ Ｐ明朝" w:hint="eastAsia"/>
        </w:rPr>
        <w:t>）</w:t>
      </w:r>
    </w:p>
    <w:p w14:paraId="2EA62285" w14:textId="77777777" w:rsidR="007D7843" w:rsidRPr="009D5E9C" w:rsidRDefault="007D7843" w:rsidP="007D7843">
      <w:pPr>
        <w:jc w:val="right"/>
      </w:pPr>
    </w:p>
    <w:p w14:paraId="36871771" w14:textId="77777777" w:rsidR="00C2116D" w:rsidRDefault="00891E4B" w:rsidP="00C2116D">
      <w:pPr>
        <w:numPr>
          <w:ilvl w:val="0"/>
          <w:numId w:val="1"/>
        </w:numPr>
        <w:rPr>
          <w:b/>
        </w:rPr>
      </w:pPr>
      <w:r w:rsidRPr="003C7A11">
        <w:rPr>
          <w:rFonts w:hint="eastAsia"/>
          <w:b/>
        </w:rPr>
        <w:t>一般廃棄物の最終処分場及び産業廃棄物の最終処分場に係る技術上の基準を定める省令</w:t>
      </w:r>
    </w:p>
    <w:p w14:paraId="779B1CB2" w14:textId="77777777" w:rsidR="00964C76" w:rsidRPr="003C7A11" w:rsidRDefault="00964C76" w:rsidP="00964C76">
      <w:pPr>
        <w:rPr>
          <w:b/>
        </w:rPr>
      </w:pPr>
    </w:p>
    <w:p w14:paraId="14A8BFEB" w14:textId="77777777" w:rsidR="00891E4B" w:rsidRDefault="00891E4B" w:rsidP="00891E4B">
      <w:pPr>
        <w:ind w:left="210" w:hangingChars="100" w:hanging="210"/>
      </w:pPr>
      <w:r>
        <w:rPr>
          <w:rFonts w:hint="eastAsia"/>
        </w:rPr>
        <w:t>第一条　廃棄物の処理及び清掃に関する法律</w:t>
      </w:r>
      <w:r>
        <w:t xml:space="preserve"> </w:t>
      </w:r>
      <w:r>
        <w:rPr>
          <w:rFonts w:hint="eastAsia"/>
        </w:rPr>
        <w:t>（昭和四十五年法律第百三十七号。以下「法」という。）第八条の二第一項第一号</w:t>
      </w:r>
      <w:r>
        <w:t xml:space="preserve"> </w:t>
      </w:r>
      <w:r>
        <w:rPr>
          <w:rFonts w:hint="eastAsia"/>
        </w:rPr>
        <w:t>の規定による一般廃棄物の最終処分場の技術上の基準は、次のとおりとする。</w:t>
      </w:r>
      <w:r>
        <w:t xml:space="preserve"> </w:t>
      </w:r>
    </w:p>
    <w:p w14:paraId="28D7598A" w14:textId="77777777" w:rsidR="00891E4B" w:rsidRDefault="00891E4B" w:rsidP="00891E4B">
      <w:pPr>
        <w:ind w:leftChars="100" w:left="420" w:hangingChars="100" w:hanging="210"/>
      </w:pPr>
      <w:r>
        <w:rPr>
          <w:rFonts w:hint="eastAsia"/>
        </w:rPr>
        <w:t>一　埋立処分の場所（以下「埋立地」という。）の周囲には、みだりに人が埋立地に立ち入るのを防止することができる囲い（次項第十七号の規定により閉鎖された埋立地を埋立処分以外の用に供する場合においては、埋立地の範囲を明らかにすることができる囲い、杭その他の設備）が設けられていること。</w:t>
      </w:r>
      <w:r>
        <w:t xml:space="preserve"> </w:t>
      </w:r>
    </w:p>
    <w:p w14:paraId="6892BB54" w14:textId="77777777" w:rsidR="00891E4B" w:rsidRDefault="00891E4B" w:rsidP="00891E4B">
      <w:pPr>
        <w:ind w:leftChars="100" w:left="420" w:hangingChars="100" w:hanging="210"/>
      </w:pPr>
      <w:r>
        <w:rPr>
          <w:rFonts w:hint="eastAsia"/>
        </w:rPr>
        <w:t>二　入口の見やすい箇所に、様式第一により一般廃棄物の最終処分場であることを表示する立札その他の設備が設けられていること。</w:t>
      </w:r>
      <w:r>
        <w:t xml:space="preserve"> </w:t>
      </w:r>
    </w:p>
    <w:p w14:paraId="60296832" w14:textId="77777777" w:rsidR="00891E4B" w:rsidRDefault="00891E4B" w:rsidP="00891E4B">
      <w:pPr>
        <w:ind w:leftChars="100" w:left="420" w:hangingChars="100" w:hanging="210"/>
      </w:pPr>
      <w:r>
        <w:rPr>
          <w:rFonts w:hint="eastAsia"/>
        </w:rPr>
        <w:t>三　地盤の滑りを防止し、又は最終処分場に設けられる設備の沈下を防止する必要がある場合においては、適当な地滑り防止工又は沈下防止工が設けられていること。</w:t>
      </w:r>
      <w:r>
        <w:t xml:space="preserve"> </w:t>
      </w:r>
    </w:p>
    <w:p w14:paraId="2F8F2879" w14:textId="77777777" w:rsidR="00891E4B" w:rsidRDefault="00891E4B" w:rsidP="00891E4B">
      <w:pPr>
        <w:ind w:leftChars="100" w:left="420" w:hangingChars="100" w:hanging="210"/>
      </w:pPr>
      <w:r>
        <w:rPr>
          <w:rFonts w:hint="eastAsia"/>
        </w:rPr>
        <w:t>四　埋め立てる一般廃棄物の流出を防止するための擁壁、えん堤その他の設備であつて、次の要件を備えたもの（以下「擁壁等」という。）が設けられていること。</w:t>
      </w:r>
    </w:p>
    <w:p w14:paraId="2210696C" w14:textId="77777777" w:rsidR="00891E4B" w:rsidRDefault="00891E4B" w:rsidP="00891E4B">
      <w:pPr>
        <w:ind w:leftChars="100" w:left="210" w:firstLineChars="100" w:firstLine="210"/>
      </w:pPr>
      <w:r>
        <w:rPr>
          <w:rFonts w:hint="eastAsia"/>
        </w:rPr>
        <w:t>イ　自重、土圧、水圧、波力、地震力等に対して構造耐力上安全であること。</w:t>
      </w:r>
    </w:p>
    <w:p w14:paraId="6AA9284D" w14:textId="77777777" w:rsidR="00891E4B" w:rsidRDefault="00891E4B" w:rsidP="00891E4B">
      <w:pPr>
        <w:ind w:leftChars="200" w:left="630" w:hangingChars="100" w:hanging="210"/>
      </w:pPr>
      <w:r>
        <w:rPr>
          <w:rFonts w:hint="eastAsia"/>
        </w:rPr>
        <w:t>ロ　埋め立てる一般廃棄物、地表水、地下水及び土壌の性状に応じた有効な腐食防止のための措置が講じられていること。</w:t>
      </w:r>
    </w:p>
    <w:p w14:paraId="767C0A87" w14:textId="77777777" w:rsidR="00891E4B" w:rsidRDefault="00891E4B" w:rsidP="00891E4B">
      <w:pPr>
        <w:ind w:leftChars="100" w:left="420" w:hangingChars="100" w:hanging="210"/>
      </w:pPr>
      <w:r>
        <w:rPr>
          <w:rFonts w:hint="eastAsia"/>
        </w:rPr>
        <w:t>五　埋立地（内部仕切設備により区画して埋立処分を行う埋立地については、埋立処分を行つている区画。以下この号、次号及び次項第十二号において同じ。）からの浸出液による公共の水域及び地下水の汚染を防止するための次に掲げる措置が講じられていること。ただし、公共の水域及び地下水の汚染を防止するために必要な措置を講じた一般廃棄物のみを埋め立てる埋立地については、この限りでない。</w:t>
      </w:r>
    </w:p>
    <w:p w14:paraId="0FACE737" w14:textId="77777777" w:rsidR="00891E4B" w:rsidRDefault="00891E4B" w:rsidP="00891E4B">
      <w:pPr>
        <w:ind w:leftChars="200" w:left="630" w:hangingChars="100" w:hanging="210"/>
      </w:pPr>
      <w:r>
        <w:rPr>
          <w:rFonts w:hint="eastAsia"/>
        </w:rPr>
        <w:t>イ　埋立地（地下の全面に厚さが五メートル以上であり、かつ、透水係数が毎秒百ナノメートル（岩盤にあつては、ルジオン値が一）以下である地層又はこれと同等以上の遮水の効力を有する地層（以下「不透水性地層」という。）があるものを除く。以下イにおいて同じ。）には、一般廃棄物の投入のための開口部及びニに規定する保有水等集排水設備の部分を除き、一般廃棄物の保有水及び雨水等（以下「保有水等」という。）の埋立地からの浸出を防止するため、次の要件を備えた遮水工又はこれと同等以上の遮水の効力を有する遮水工を設けること。ただし、埋立地の内部の側面又は底面のうち、その表面に不透水性地層がある部分については、この限りでない。</w:t>
      </w:r>
    </w:p>
    <w:p w14:paraId="772EDA5B" w14:textId="77777777" w:rsidR="00891E4B" w:rsidRDefault="00891E4B" w:rsidP="00891E4B">
      <w:pPr>
        <w:ind w:leftChars="200" w:left="840" w:hangingChars="200" w:hanging="420"/>
      </w:pPr>
      <w:r>
        <w:rPr>
          <w:rFonts w:hint="eastAsia"/>
        </w:rPr>
        <w:t>（１）　次のいずれかの要件を備えた遮水層又はこれらと同等以上の効力を有する遮水層を有すること。ただし、遮水層が敷設される地盤（以下「基礎地盤」という。）のうち、そのこう配が五十パーセント以上であつて、かつ、その高さが保有水等の水位が達するおそれがある高さを超える部分については、当該基礎地盤に吹き付けられたモルタルの表面に、保有水等の浸出を防止するために必要な遮水の効力、強度及び耐久力を有する遮水シート（以下「遮水シート」という。）若しくはゴムアスファルト又はこれらと同等以上の遮水の効力、強度及び耐久力を有する物を遮水層として敷設した場合においては、この限りでない。</w:t>
      </w:r>
    </w:p>
    <w:p w14:paraId="5B7BC9CC" w14:textId="77777777" w:rsidR="00891E4B" w:rsidRDefault="00891E4B" w:rsidP="00891E4B">
      <w:pPr>
        <w:ind w:leftChars="300" w:left="1050" w:hangingChars="200" w:hanging="420"/>
      </w:pPr>
      <w:r>
        <w:rPr>
          <w:rFonts w:hint="eastAsia"/>
        </w:rPr>
        <w:t>（イ）厚さが五十センチメートル以上であり、かつ、透水係数が毎秒十ナノメートル以下である</w:t>
      </w:r>
      <w:r>
        <w:rPr>
          <w:rFonts w:hint="eastAsia"/>
        </w:rPr>
        <w:lastRenderedPageBreak/>
        <w:t>粘土その他の材料の層の表面に遮水シートが敷設されていること。</w:t>
      </w:r>
    </w:p>
    <w:p w14:paraId="36F970F3" w14:textId="77777777" w:rsidR="00891E4B" w:rsidRDefault="00891E4B" w:rsidP="00891E4B">
      <w:pPr>
        <w:ind w:leftChars="300" w:left="1050" w:hangingChars="200" w:hanging="420"/>
      </w:pPr>
      <w:r>
        <w:rPr>
          <w:rFonts w:hint="eastAsia"/>
        </w:rPr>
        <w:t>（ロ）厚さが五センチメートル以上であり、かつ、透水係数が毎秒一ナノメートル以下であるアスファルト・コンクリートの層の表面に遮水シートが敷設されていること。</w:t>
      </w:r>
    </w:p>
    <w:p w14:paraId="1A6EEBF4" w14:textId="77777777" w:rsidR="00891E4B" w:rsidRDefault="00891E4B" w:rsidP="00891E4B">
      <w:pPr>
        <w:ind w:leftChars="300" w:left="1050" w:hangingChars="200" w:hanging="420"/>
      </w:pPr>
      <w:r>
        <w:rPr>
          <w:rFonts w:hint="eastAsia"/>
        </w:rPr>
        <w:t>（ハ）不織布その他の物（二重の遮水シートが基礎地盤と接することによる損傷を防止することができるものに限る。）の表面に二重の遮水シート（当該遮水シートの間に、埋立処分に用いる車両の走行又は作業による衝撃その他の負荷により双方の遮水シートが同時に損傷することを防止することができる十分な厚さ及び強度を有する不織布その他の物が設けられているものに限る。）が敷設されていること。</w:t>
      </w:r>
    </w:p>
    <w:p w14:paraId="2C5EA2AB" w14:textId="77777777" w:rsidR="00891E4B" w:rsidRDefault="00891E4B" w:rsidP="00891E4B">
      <w:pPr>
        <w:ind w:leftChars="200" w:left="840" w:hangingChars="200" w:hanging="420"/>
      </w:pPr>
      <w:r>
        <w:rPr>
          <w:rFonts w:hint="eastAsia"/>
        </w:rPr>
        <w:t>（２）基礎地盤は、埋め立てる一般廃棄物の荷重その他予想される負荷による遮水層の損傷を防止するために必要な強度を有し、かつ、遮水層の損傷を防止することができる平らな状態であること。</w:t>
      </w:r>
    </w:p>
    <w:p w14:paraId="45934859" w14:textId="77777777" w:rsidR="00891E4B" w:rsidRDefault="00891E4B" w:rsidP="00891E4B">
      <w:pPr>
        <w:ind w:leftChars="200" w:left="840" w:hangingChars="200" w:hanging="420"/>
      </w:pPr>
      <w:r>
        <w:rPr>
          <w:rFonts w:hint="eastAsia"/>
        </w:rPr>
        <w:t>（３）遮水層の表面を、日射によるその劣化を防止するために必要な遮光の効力を有する不織布又はこれと同等以上の遮光の効力及び耐久力を有する物で覆うこと。ただし、日射による遮水層の劣化のおそれがあると認められない場合には、この限りでない。</w:t>
      </w:r>
    </w:p>
    <w:p w14:paraId="3E4B4A16" w14:textId="77777777" w:rsidR="00891E4B" w:rsidRDefault="00891E4B" w:rsidP="00891E4B">
      <w:pPr>
        <w:ind w:leftChars="200" w:left="630" w:hangingChars="100" w:hanging="210"/>
      </w:pPr>
      <w:r>
        <w:rPr>
          <w:rFonts w:hint="eastAsia"/>
        </w:rPr>
        <w:t>ロ　埋立地（地下の全面に不透水性地層があるものに限る。以下ロにおいて同じ。）には、保有水等の埋立地からの浸出を防止するため、開口部を除き、次のいずれかの要件を備えた遮水工又はこれらと同等以上の遮水の効力を有する遮水工を設けること。</w:t>
      </w:r>
    </w:p>
    <w:p w14:paraId="6965F9F8" w14:textId="77777777" w:rsidR="00891E4B" w:rsidRDefault="00891E4B" w:rsidP="00891E4B">
      <w:pPr>
        <w:ind w:leftChars="200" w:left="840" w:hangingChars="200" w:hanging="420"/>
      </w:pPr>
      <w:r>
        <w:rPr>
          <w:rFonts w:hint="eastAsia"/>
        </w:rPr>
        <w:t>（１）薬剤等の注入により、当該不透水性地層までの埋立地の周囲の地盤が、ルジオン値が一以下となるまで固化されていること。</w:t>
      </w:r>
    </w:p>
    <w:p w14:paraId="08337FFB" w14:textId="77777777" w:rsidR="00891E4B" w:rsidRDefault="00891E4B" w:rsidP="00891E4B">
      <w:pPr>
        <w:ind w:leftChars="200" w:left="840" w:hangingChars="200" w:hanging="420"/>
      </w:pPr>
      <w:r>
        <w:rPr>
          <w:rFonts w:hint="eastAsia"/>
        </w:rPr>
        <w:t>（２）厚さが五十センチメートル以上であり、かつ、透水係数が毎秒十ナノメートル以下である壁が埋立地の周囲に当該不透水性地層まで設けられていること。</w:t>
      </w:r>
    </w:p>
    <w:p w14:paraId="3AC16E57" w14:textId="77777777" w:rsidR="00891E4B" w:rsidRDefault="00891E4B" w:rsidP="00891E4B">
      <w:pPr>
        <w:ind w:leftChars="200" w:left="840" w:hangingChars="200" w:hanging="420"/>
      </w:pPr>
      <w:r>
        <w:rPr>
          <w:rFonts w:hint="eastAsia"/>
        </w:rPr>
        <w:t>（３）鋼矢板（他の鋼矢板と接続する部分からの保有水等の浸出を防止するための措置が講じられるものに限る。）が埋立地の周囲に当該不透水性地層まで設けられていること。</w:t>
      </w:r>
    </w:p>
    <w:p w14:paraId="29B2D540" w14:textId="77777777" w:rsidR="00891E4B" w:rsidRDefault="00891E4B" w:rsidP="00891E4B">
      <w:pPr>
        <w:ind w:leftChars="200" w:left="630" w:hangingChars="100" w:hanging="210"/>
      </w:pPr>
      <w:r>
        <w:rPr>
          <w:rFonts w:hint="eastAsia"/>
        </w:rPr>
        <w:t>（４）イ（１）から（３）までに掲げる要件</w:t>
      </w:r>
    </w:p>
    <w:p w14:paraId="4CABC354" w14:textId="77777777" w:rsidR="00891E4B" w:rsidRDefault="00891E4B" w:rsidP="00891E4B">
      <w:pPr>
        <w:ind w:leftChars="200" w:left="630" w:hangingChars="100" w:hanging="210"/>
      </w:pPr>
      <w:r>
        <w:rPr>
          <w:rFonts w:hint="eastAsia"/>
        </w:rPr>
        <w:t>ハ　地下水により遮水工が損傷するおそれがある場合には、地下水を有効に集め、排出することができる堅固で耐久力を有する管渠その他の集排水設備（以下「地下水集排水設備」という。）を設けること。</w:t>
      </w:r>
    </w:p>
    <w:p w14:paraId="74714780" w14:textId="77777777" w:rsidR="00891E4B" w:rsidRDefault="00891E4B" w:rsidP="00891E4B">
      <w:pPr>
        <w:ind w:leftChars="200" w:left="630" w:hangingChars="100" w:hanging="210"/>
      </w:pPr>
      <w:r>
        <w:rPr>
          <w:rFonts w:hint="eastAsia"/>
        </w:rPr>
        <w:t>ニ　埋立地には、保有水等を有効に集め、速やかに排出することができる堅固で耐久力を有する構造の管渠その他の集排水設備（水面埋立処分を行う埋立地については、保有水等を有効に排出することができる堅固で耐久力を有する構造の余水吐きその他の排水設備。以下「保有水等集排水設備」という。）を設けること。ただし、雨水が入らないよう必要な措置が講じられる埋立地（水面埋立処分を行う埋立地を除く。）であつて、腐敗せず、かつ、保有水が生じない一般廃棄物のみを埋め立てるものについては、この限りでない。</w:t>
      </w:r>
    </w:p>
    <w:p w14:paraId="38D0FF79" w14:textId="77777777" w:rsidR="00891E4B" w:rsidRDefault="00891E4B" w:rsidP="00891E4B">
      <w:pPr>
        <w:ind w:leftChars="200" w:left="630" w:hangingChars="100" w:hanging="210"/>
      </w:pPr>
      <w:r>
        <w:rPr>
          <w:rFonts w:hint="eastAsia"/>
        </w:rPr>
        <w:t>ホ　保有水等集排水設備により集められ、ヘに規定する浸出液処理設備に流入する保有水等の水量及び水質を調整することができる耐水構造の調整池を設けること。ただし、水面埋立処分を行う最終処分場又はヘただし書に規定する最終処分場にあつては、この限りでない。</w:t>
      </w:r>
    </w:p>
    <w:p w14:paraId="44E5961B" w14:textId="77777777" w:rsidR="00891E4B" w:rsidRDefault="00891E4B" w:rsidP="00891E4B">
      <w:pPr>
        <w:ind w:leftChars="200" w:left="630" w:hangingChars="100" w:hanging="210"/>
      </w:pPr>
      <w:r>
        <w:rPr>
          <w:rFonts w:hint="eastAsia"/>
        </w:rPr>
        <w:t>ヘ　保有水等集排水設備により集められた保有水等（水面埋立処分を行う埋立地については、保有水等集排水設備により排出される保有水等。以下同じ。）に係る放流水の水質を別表第一の上欄に掲げる項目ごとに同表の下欄に掲げる排水基準及び法第八条第二項第七号</w:t>
      </w:r>
      <w:r>
        <w:t xml:space="preserve"> </w:t>
      </w:r>
      <w:r>
        <w:rPr>
          <w:rFonts w:hint="eastAsia"/>
        </w:rPr>
        <w:t>に規定する一般廃棄物処理施設の維持管理に関する計画（以下「維持管理計画」という。）に放流水の水質につい</w:t>
      </w:r>
      <w:r>
        <w:rPr>
          <w:rFonts w:hint="eastAsia"/>
        </w:rPr>
        <w:lastRenderedPageBreak/>
        <w:t>て達成することとした数値（ダイオキシン類（ダイオキシン類対策特別措置法</w:t>
      </w:r>
      <w:r>
        <w:t xml:space="preserve"> </w:t>
      </w:r>
      <w:r>
        <w:rPr>
          <w:rFonts w:hint="eastAsia"/>
        </w:rPr>
        <w:t>（平成十一年法律第百五号）第二条第一項</w:t>
      </w:r>
      <w:r>
        <w:t xml:space="preserve"> </w:t>
      </w:r>
      <w:r>
        <w:rPr>
          <w:rFonts w:hint="eastAsia"/>
        </w:rPr>
        <w:t>に規定するダイオキシン類をいう。）に関する数値を除く。）が定められている場合における当該数値（以下「排水基準等」という。）並びにダイオキシン類対策特別措置法施行規則</w:t>
      </w:r>
      <w:r>
        <w:t xml:space="preserve"> </w:t>
      </w:r>
      <w:r>
        <w:rPr>
          <w:rFonts w:hint="eastAsia"/>
        </w:rPr>
        <w:t>（平成十一年総理府令第六十七号）別表第二の下欄に定めるダイオキシン類の許容限度（維持管理計画においてより厳しい数値を達成することとした場合にあつては、当該数値）に適合させることができる浸出液処理設備を設けること。ただし、保有水等集排水設備により集められた保有水等を貯留するための十分な容量の耐水構造の貯留槽が設けられ、かつ、当該貯留槽に貯留された保有水等が当該最終処分場以外の場所に設けられた本文に規定する浸出液処理設備と同等以上の性能を有する水処理設備で処理される最終処分場にあつては、この限りでない。</w:t>
      </w:r>
    </w:p>
    <w:p w14:paraId="36BC58C9" w14:textId="77777777" w:rsidR="00891E4B" w:rsidRDefault="00891E4B" w:rsidP="00891E4B">
      <w:pPr>
        <w:ind w:leftChars="200" w:left="630" w:hangingChars="100" w:hanging="210"/>
      </w:pPr>
      <w:r>
        <w:rPr>
          <w:rFonts w:hint="eastAsia"/>
        </w:rPr>
        <w:t>ト　ヘに規定する浸出液処理設備に保有水等集排水設備により集められた保有水等を流入させるために設ける導水管又は当該浸出液処理設備の配管（以下「導水管等」という。）の凍結による損壊のおそれのある部分には、有効な防凍のための措置が講じられていること。</w:t>
      </w:r>
    </w:p>
    <w:p w14:paraId="72A6DBBA" w14:textId="77777777" w:rsidR="00891E4B" w:rsidRDefault="00891E4B" w:rsidP="00891E4B">
      <w:pPr>
        <w:ind w:leftChars="100" w:left="420" w:hangingChars="100" w:hanging="210"/>
      </w:pPr>
      <w:r>
        <w:rPr>
          <w:rFonts w:hint="eastAsia"/>
        </w:rPr>
        <w:t>六　埋立地の周囲には、地表水が埋立地の開口部から埋立地へ流入するのを防止することができる開渠その他の設備が設けられていること。</w:t>
      </w:r>
    </w:p>
    <w:p w14:paraId="06485E11" w14:textId="77777777" w:rsidR="00964C76" w:rsidRPr="00891E4B" w:rsidRDefault="00964C76" w:rsidP="00891E4B">
      <w:pPr>
        <w:ind w:leftChars="100" w:left="420" w:hangingChars="100" w:hanging="210"/>
      </w:pPr>
    </w:p>
    <w:p w14:paraId="214D7072" w14:textId="77777777" w:rsidR="00A72274" w:rsidRDefault="00A72274" w:rsidP="00A72274">
      <w:pPr>
        <w:ind w:left="210" w:hangingChars="100" w:hanging="210"/>
      </w:pPr>
      <w:r>
        <w:rPr>
          <w:rFonts w:hint="eastAsia"/>
        </w:rPr>
        <w:t>３　法第九条第五項</w:t>
      </w:r>
      <w:r>
        <w:t xml:space="preserve"> </w:t>
      </w:r>
      <w:r>
        <w:rPr>
          <w:rFonts w:hint="eastAsia"/>
        </w:rPr>
        <w:t>（法第九条の三第十一項</w:t>
      </w:r>
      <w:r>
        <w:t xml:space="preserve"> </w:t>
      </w:r>
      <w:r>
        <w:rPr>
          <w:rFonts w:hint="eastAsia"/>
        </w:rPr>
        <w:t>において準用する場合を含む。）の規定による一般廃棄物の最終処分場の廃止の技術上の基準は、廃棄物が埋め立てられている一般廃棄物の最終処分場にあつては次のとおりとし、廃棄物が埋め立てられていない一般廃棄物の最終処分場にあつては廃棄物が埋め立てられていないこととする。</w:t>
      </w:r>
      <w:r>
        <w:t xml:space="preserve"> </w:t>
      </w:r>
    </w:p>
    <w:p w14:paraId="32DF76B8" w14:textId="77777777" w:rsidR="00A72274" w:rsidRDefault="00A72274" w:rsidP="00A72274">
      <w:pPr>
        <w:ind w:leftChars="100" w:left="420" w:hangingChars="100" w:hanging="210"/>
      </w:pPr>
      <w:r>
        <w:rPr>
          <w:rFonts w:hint="eastAsia"/>
        </w:rPr>
        <w:t>一　最終処分場が、第一項（第一号、第二号並びに第五号ホ及びヘを除く。）に規定する技術上の基準に適合していないと認められないこと。</w:t>
      </w:r>
      <w:r>
        <w:t xml:space="preserve"> </w:t>
      </w:r>
    </w:p>
    <w:p w14:paraId="41DA3840" w14:textId="77777777" w:rsidR="00A72274" w:rsidRDefault="00A72274" w:rsidP="00A72274">
      <w:pPr>
        <w:ind w:firstLineChars="100" w:firstLine="210"/>
      </w:pPr>
      <w:r>
        <w:rPr>
          <w:rFonts w:hint="eastAsia"/>
        </w:rPr>
        <w:t>二　最終処分場の外に悪臭が発散しないように必要な措置が講じられていること。</w:t>
      </w:r>
      <w:r>
        <w:t xml:space="preserve"> </w:t>
      </w:r>
    </w:p>
    <w:p w14:paraId="6BACCD0F" w14:textId="77777777" w:rsidR="00A72274" w:rsidRDefault="00A72274" w:rsidP="00A72274">
      <w:pPr>
        <w:ind w:firstLineChars="100" w:firstLine="210"/>
      </w:pPr>
      <w:r>
        <w:rPr>
          <w:rFonts w:hint="eastAsia"/>
        </w:rPr>
        <w:t>三　火災の発生を防止するために必要な措置が講じられていること。</w:t>
      </w:r>
      <w:r>
        <w:t xml:space="preserve"> </w:t>
      </w:r>
    </w:p>
    <w:p w14:paraId="5F43A22C" w14:textId="77777777" w:rsidR="00A72274" w:rsidRDefault="00A72274" w:rsidP="00A72274">
      <w:pPr>
        <w:ind w:leftChars="100" w:left="420" w:hangingChars="100" w:hanging="210"/>
      </w:pPr>
      <w:r>
        <w:rPr>
          <w:rFonts w:hint="eastAsia"/>
        </w:rPr>
        <w:t>四　ねずみが生息し、及び蚊、はえその他の害虫が発生しないように必要な措置が講じられていること。</w:t>
      </w:r>
    </w:p>
    <w:p w14:paraId="40B15736" w14:textId="77777777" w:rsidR="00A72274" w:rsidRDefault="00A72274" w:rsidP="00A72274">
      <w:pPr>
        <w:ind w:leftChars="100" w:left="420" w:hangingChars="100" w:hanging="210"/>
      </w:pPr>
      <w:r>
        <w:rPr>
          <w:rFonts w:hint="eastAsia"/>
        </w:rPr>
        <w:t>五　前項第十号の規定により採取された地下水等の水質が、次に掲げる水質検査の結果、それぞれ次のいずれにも該当しないと認められること。ただし、同号イ、ロ又はニの規定による地下水等検査項目に係る水質検査の結果、水質の悪化（その原因が当該最終処分場以外にあることが明らかなものを除く。）が認められない場合においては、この限りでない。</w:t>
      </w:r>
    </w:p>
    <w:p w14:paraId="6E6B9BAA" w14:textId="77777777" w:rsidR="00A72274" w:rsidRDefault="00A72274" w:rsidP="00A72274">
      <w:pPr>
        <w:ind w:leftChars="200" w:left="630" w:hangingChars="100" w:hanging="210"/>
      </w:pPr>
      <w:r>
        <w:rPr>
          <w:rFonts w:hint="eastAsia"/>
        </w:rPr>
        <w:t>イ　前項第十号ロ又はニの規定による地下水等検査項目に係る水質検査の結果、地下水等の水質が、地下水等検査項目のいずれかについて当該地下水等検査項目に係る別表第二下欄に掲げる基準に現に適合していないこと。</w:t>
      </w:r>
    </w:p>
    <w:p w14:paraId="313FBBED" w14:textId="77777777" w:rsidR="00A72274" w:rsidRDefault="00A72274" w:rsidP="00A72274">
      <w:pPr>
        <w:ind w:leftChars="200" w:left="630" w:hangingChars="100" w:hanging="210"/>
      </w:pPr>
      <w:r>
        <w:rPr>
          <w:rFonts w:hint="eastAsia"/>
        </w:rPr>
        <w:t>ロ　前項第十号イ、ロ又はニの規定による地下水等検査項目に係る水質検査の結果、当該検査によつて得られた数値の変動の状況に照らして、地下水等の水質が、地下水等検査項目のいずれかについて当該地下水等検査項目に係る別表第二下欄に掲げる基準に適合しなくなるおそれがあること。</w:t>
      </w:r>
    </w:p>
    <w:p w14:paraId="75192D9D" w14:textId="77777777" w:rsidR="00A72274" w:rsidRDefault="00A72274" w:rsidP="00A72274">
      <w:pPr>
        <w:ind w:leftChars="100" w:left="420" w:hangingChars="100" w:hanging="210"/>
      </w:pPr>
      <w:r>
        <w:rPr>
          <w:rFonts w:hint="eastAsia"/>
        </w:rPr>
        <w:t>六　保有水等集排水設備により集められた保有水等の水質が、イ及びロに掲げる項目についてそれぞれイ及びロに掲げる頻度で二年（埋め立てる一般廃棄物の性状を著しく変更した場合にあつては、当該変更以後の二年）以上にわたり行われた水質検査の結果、すべての項目について排水基準等に</w:t>
      </w:r>
      <w:r>
        <w:rPr>
          <w:rFonts w:hint="eastAsia"/>
        </w:rPr>
        <w:lastRenderedPageBreak/>
        <w:t>適合していると認められること。ただし、第一項第五号ニただし書に規定する埋立地については、この限りでない。</w:t>
      </w:r>
    </w:p>
    <w:p w14:paraId="61F7DAEA" w14:textId="77777777" w:rsidR="00A72274" w:rsidRDefault="00A72274" w:rsidP="00A72274">
      <w:pPr>
        <w:ind w:firstLineChars="200" w:firstLine="420"/>
      </w:pPr>
      <w:r>
        <w:rPr>
          <w:rFonts w:hint="eastAsia"/>
        </w:rPr>
        <w:t>イ　排水基準等に係る項目（ロに掲げる項目を除く。）　六月に一回以上</w:t>
      </w:r>
    </w:p>
    <w:p w14:paraId="7C963F03" w14:textId="77777777" w:rsidR="00A72274" w:rsidRDefault="00A72274" w:rsidP="00A72274">
      <w:pPr>
        <w:ind w:firstLineChars="200" w:firstLine="420"/>
      </w:pPr>
      <w:r>
        <w:rPr>
          <w:rFonts w:hint="eastAsia"/>
        </w:rPr>
        <w:t>ロ　前項第十四号ハ（２）に規定する項目　三月に一回以上</w:t>
      </w:r>
    </w:p>
    <w:p w14:paraId="2AFC4788" w14:textId="77777777" w:rsidR="00A72274" w:rsidRDefault="00A72274" w:rsidP="00A72274">
      <w:pPr>
        <w:ind w:leftChars="100" w:left="420" w:hangingChars="100" w:hanging="210"/>
      </w:pPr>
      <w:r>
        <w:rPr>
          <w:rFonts w:hint="eastAsia"/>
        </w:rPr>
        <w:t>七　埋立地からガスの発生がほとんど認められないこと又はガスの発生量の増加が二年以上にわたり認められないこと。</w:t>
      </w:r>
      <w:r>
        <w:t xml:space="preserve"> </w:t>
      </w:r>
    </w:p>
    <w:p w14:paraId="2B51068C" w14:textId="77777777" w:rsidR="00A72274" w:rsidRDefault="00A72274" w:rsidP="00A72274">
      <w:pPr>
        <w:ind w:firstLineChars="100" w:firstLine="210"/>
      </w:pPr>
      <w:r>
        <w:rPr>
          <w:rFonts w:hint="eastAsia"/>
        </w:rPr>
        <w:t>八　埋立地の内部が周辺の地中の温度に比して異常な高温になつていないこと。</w:t>
      </w:r>
      <w:r>
        <w:t xml:space="preserve"> </w:t>
      </w:r>
    </w:p>
    <w:p w14:paraId="5E74F00A" w14:textId="77777777" w:rsidR="00A72274" w:rsidRDefault="00A72274" w:rsidP="00A72274">
      <w:pPr>
        <w:ind w:firstLineChars="100" w:firstLine="210"/>
      </w:pPr>
      <w:r>
        <w:rPr>
          <w:rFonts w:hint="eastAsia"/>
        </w:rPr>
        <w:t>九　前項第十七号に規定する覆いにより開口部が閉鎖されていること。</w:t>
      </w:r>
      <w:r>
        <w:t xml:space="preserve"> </w:t>
      </w:r>
    </w:p>
    <w:p w14:paraId="47299EE7" w14:textId="77777777" w:rsidR="00A72274" w:rsidRDefault="00A72274" w:rsidP="00A72274">
      <w:pPr>
        <w:ind w:firstLineChars="100" w:firstLine="210"/>
      </w:pPr>
      <w:r>
        <w:rPr>
          <w:rFonts w:hint="eastAsia"/>
        </w:rPr>
        <w:t>十　前項第十七号ただし書に規定する覆いについては、沈下、亀裂その他の変形が認められないこと。</w:t>
      </w:r>
      <w:r>
        <w:t xml:space="preserve"> </w:t>
      </w:r>
    </w:p>
    <w:p w14:paraId="22C1D3A5" w14:textId="77777777" w:rsidR="00891E4B" w:rsidRDefault="00A72274" w:rsidP="00A72274">
      <w:pPr>
        <w:ind w:leftChars="100" w:left="420" w:hangingChars="100" w:hanging="210"/>
      </w:pPr>
      <w:r>
        <w:rPr>
          <w:rFonts w:hint="eastAsia"/>
        </w:rPr>
        <w:t>十一　埋立地からの浸出液又はガスが周辺地域の生活環境に及ぼす影響その他の最終処分場が周辺地域の生活環境に及ぼす影響による生活環境の保全上の支障が現に生じていないこと。</w:t>
      </w:r>
    </w:p>
    <w:p w14:paraId="00E11E9D" w14:textId="77777777" w:rsidR="00830D8A" w:rsidRDefault="00830D8A" w:rsidP="00A72274">
      <w:pPr>
        <w:ind w:leftChars="100" w:left="420" w:hangingChars="100" w:hanging="210"/>
      </w:pPr>
    </w:p>
    <w:p w14:paraId="57600CF4" w14:textId="77777777" w:rsidR="00B80174" w:rsidRDefault="00B80174" w:rsidP="00B80174">
      <w:pPr>
        <w:ind w:left="210" w:hangingChars="100" w:hanging="210"/>
      </w:pPr>
      <w:r>
        <w:rPr>
          <w:rFonts w:hint="eastAsia"/>
        </w:rPr>
        <w:t>第二条　法第十五条の二第一項第一号の規定による産業廃棄物の最終処分場の技術上の基準は、前条第一項第三号の規定の例によるほか、次のとおりとする。</w:t>
      </w:r>
      <w:r>
        <w:t xml:space="preserve"> </w:t>
      </w:r>
    </w:p>
    <w:p w14:paraId="1ADDD505" w14:textId="77777777" w:rsidR="00B80174" w:rsidRDefault="00B80174" w:rsidP="00B80174">
      <w:pPr>
        <w:ind w:leftChars="100" w:left="420" w:hangingChars="100" w:hanging="210"/>
      </w:pPr>
      <w:r>
        <w:rPr>
          <w:rFonts w:hint="eastAsia"/>
        </w:rPr>
        <w:t>一　入口の見やすい箇所に、様式第二により産業廃棄物の最終処分場（廃棄物の処理及び清掃に関する法律施行令</w:t>
      </w:r>
      <w:r>
        <w:t xml:space="preserve"> </w:t>
      </w:r>
      <w:r>
        <w:rPr>
          <w:rFonts w:hint="eastAsia"/>
        </w:rPr>
        <w:t>（昭和四十六年政令第三百号。以下「令」という。）第七条第十四号</w:t>
      </w:r>
      <w:r>
        <w:t xml:space="preserve"> </w:t>
      </w:r>
      <w:r>
        <w:rPr>
          <w:rFonts w:hint="eastAsia"/>
        </w:rPr>
        <w:t>イに掲げる産業廃棄物の最終処分場（以下「遮断型最終処分場」という。）のうち、令第六条の五第一項第三号</w:t>
      </w:r>
      <w:r>
        <w:t xml:space="preserve"> </w:t>
      </w:r>
      <w:r>
        <w:rPr>
          <w:rFonts w:hint="eastAsia"/>
        </w:rPr>
        <w:t>イ（１）から（６）までに掲げる特別管理産業廃棄物の埋立処分の用に供されるものにあつては有害な特別管理産業廃棄物の最終処分場、当該特別管理産業廃棄物の埋立処分の用に供されないものにあつては有害な産業廃棄物の最終処分場）であることを表示する立札その他の設備が設けられていること。</w:t>
      </w:r>
      <w:r>
        <w:t xml:space="preserve"> </w:t>
      </w:r>
    </w:p>
    <w:p w14:paraId="4B41E0BB" w14:textId="77777777" w:rsidR="00B80174" w:rsidRDefault="00B80174" w:rsidP="00B80174">
      <w:pPr>
        <w:ind w:leftChars="100" w:left="420" w:hangingChars="100" w:hanging="210"/>
      </w:pPr>
      <w:r>
        <w:rPr>
          <w:rFonts w:hint="eastAsia"/>
        </w:rPr>
        <w:t>二　遮断型最終処分場にあつては、前条第一項第六号の規定の例によるほか、次の要件を備えていること。</w:t>
      </w:r>
    </w:p>
    <w:p w14:paraId="39573D73" w14:textId="77777777" w:rsidR="00B80174" w:rsidRDefault="00B80174" w:rsidP="00B80174">
      <w:pPr>
        <w:ind w:leftChars="200" w:left="630" w:hangingChars="100" w:hanging="210"/>
      </w:pPr>
      <w:r>
        <w:rPr>
          <w:rFonts w:hint="eastAsia"/>
        </w:rPr>
        <w:t>イ　埋立地の周囲には、みだりに人が埋立地に立ち入るのを防止することができる囲いが設けられていること。</w:t>
      </w:r>
    </w:p>
    <w:p w14:paraId="62DD449C" w14:textId="77777777" w:rsidR="00B80174" w:rsidRDefault="00B80174" w:rsidP="00B80174">
      <w:pPr>
        <w:ind w:leftChars="200" w:left="630" w:hangingChars="100" w:hanging="210"/>
      </w:pPr>
      <w:r>
        <w:rPr>
          <w:rFonts w:hint="eastAsia"/>
        </w:rPr>
        <w:t>ロ　埋立地には、産業廃棄物の投入のための開口部を除き、次の要件を備えた外周仕切設備が設けられていること。</w:t>
      </w:r>
    </w:p>
    <w:p w14:paraId="5D9DFAB9" w14:textId="77777777" w:rsidR="00B80174" w:rsidRDefault="00B80174" w:rsidP="00B80174">
      <w:pPr>
        <w:ind w:leftChars="200" w:left="840" w:hangingChars="200" w:hanging="420"/>
      </w:pPr>
      <w:r>
        <w:rPr>
          <w:rFonts w:hint="eastAsia"/>
        </w:rPr>
        <w:t>（１）日本工業規格Ａ一一〇八（コンクリートの圧縮強度試験方法）により測定した一軸圧縮強度が一平方ミリメートルにつき二十五ニュートン以上で、水密性を有する鉄筋コンクリートで造られ、かつ、その厚さが三十五センチメートル以上であること又はこれと同等以上の遮断の効力を有すること。</w:t>
      </w:r>
    </w:p>
    <w:p w14:paraId="10A8742F" w14:textId="77777777" w:rsidR="00B80174" w:rsidRDefault="00B80174" w:rsidP="00B80174">
      <w:pPr>
        <w:ind w:firstLineChars="200" w:firstLine="420"/>
      </w:pPr>
      <w:r>
        <w:rPr>
          <w:rFonts w:hint="eastAsia"/>
        </w:rPr>
        <w:t>（２）前条第一項第四号イに掲げる要件を備えていること。</w:t>
      </w:r>
    </w:p>
    <w:p w14:paraId="297DF4E9" w14:textId="77777777" w:rsidR="00B80174" w:rsidRDefault="00B80174" w:rsidP="00B80174">
      <w:pPr>
        <w:ind w:leftChars="200" w:left="840" w:hangingChars="200" w:hanging="420"/>
      </w:pPr>
      <w:r>
        <w:rPr>
          <w:rFonts w:hint="eastAsia"/>
        </w:rPr>
        <w:t>（３）埋め立てた産業廃棄物と接する面が遮水の効力及び腐食防止の効力を有する材料で十分に覆われていること。</w:t>
      </w:r>
    </w:p>
    <w:p w14:paraId="60294D35" w14:textId="77777777" w:rsidR="00B80174" w:rsidRDefault="00B80174" w:rsidP="00B80174">
      <w:pPr>
        <w:ind w:firstLineChars="200" w:firstLine="420"/>
      </w:pPr>
      <w:r>
        <w:rPr>
          <w:rFonts w:hint="eastAsia"/>
        </w:rPr>
        <w:t>（４）地表水、地下水及び土壌の性状に応じた有効な腐食防止のための措置が講じられていること。</w:t>
      </w:r>
    </w:p>
    <w:p w14:paraId="2B83DDCB" w14:textId="77777777" w:rsidR="00B80174" w:rsidRDefault="00B80174" w:rsidP="00B80174">
      <w:pPr>
        <w:ind w:firstLineChars="200" w:firstLine="420"/>
      </w:pPr>
      <w:r>
        <w:rPr>
          <w:rFonts w:hint="eastAsia"/>
        </w:rPr>
        <w:t>（５）目視等により損壊の有無を点検できる構造であること。</w:t>
      </w:r>
    </w:p>
    <w:p w14:paraId="7CE09207" w14:textId="77777777" w:rsidR="00B80174" w:rsidRDefault="00B80174" w:rsidP="00B80174">
      <w:pPr>
        <w:ind w:leftChars="200" w:left="630" w:hangingChars="100" w:hanging="210"/>
      </w:pPr>
      <w:r>
        <w:rPr>
          <w:rFonts w:hint="eastAsia"/>
        </w:rPr>
        <w:t>ハ　面積が五十平方メートルを超え、又は埋立容量が二百五十立方メートルを超える埋立地は、ロ（１）から（４）までに掲げる要件を備えた内部仕切設備により、一区画の面積がおおむね五十平方メートルを超え、又は一区画の埋立容量がおおむね二百五十立方メートルを超えないように区画すること。</w:t>
      </w:r>
    </w:p>
    <w:p w14:paraId="4E4F1C37" w14:textId="77777777" w:rsidR="00B80174" w:rsidRDefault="00B80174" w:rsidP="00B80174">
      <w:pPr>
        <w:ind w:leftChars="100" w:left="420" w:hangingChars="100" w:hanging="210"/>
      </w:pPr>
      <w:r>
        <w:rPr>
          <w:rFonts w:hint="eastAsia"/>
        </w:rPr>
        <w:lastRenderedPageBreak/>
        <w:t>三　令第七条第十四号</w:t>
      </w:r>
      <w:r>
        <w:t xml:space="preserve"> </w:t>
      </w:r>
      <w:r>
        <w:rPr>
          <w:rFonts w:hint="eastAsia"/>
        </w:rPr>
        <w:t>ロに掲げる産業廃棄物の最終処分場（以下「安定型最終処分場」という。）にあつては、前条第一項第四号の規定の例によるほか、次の要件を備えていること。</w:t>
      </w:r>
    </w:p>
    <w:p w14:paraId="4BFA459E" w14:textId="77777777" w:rsidR="00B80174" w:rsidRDefault="00B80174" w:rsidP="00B80174">
      <w:pPr>
        <w:ind w:leftChars="200" w:left="630" w:hangingChars="100" w:hanging="210"/>
      </w:pPr>
      <w:r>
        <w:rPr>
          <w:rFonts w:hint="eastAsia"/>
        </w:rPr>
        <w:t>イ　埋立地の周囲には、みだりに人が埋立地に立ち入るのを防止することができる囲い（次項第二号トの規定により閉鎖された埋立地については、埋立地の範囲を明らかにすることができる囲い、杭その他の設備）が設けられていること。</w:t>
      </w:r>
    </w:p>
    <w:p w14:paraId="5B4D9DDB" w14:textId="77777777" w:rsidR="00B80174" w:rsidRDefault="00B80174" w:rsidP="00B80174">
      <w:pPr>
        <w:ind w:leftChars="200" w:left="630" w:hangingChars="100" w:hanging="210"/>
      </w:pPr>
      <w:r>
        <w:rPr>
          <w:rFonts w:hint="eastAsia"/>
        </w:rPr>
        <w:t>ロ　擁壁等の安定を保持するため必要と認められる場合においては、埋立地の内部の雨水等を排出することができる設備が設けられていること。</w:t>
      </w:r>
    </w:p>
    <w:p w14:paraId="4BADC422" w14:textId="77777777" w:rsidR="00B80174" w:rsidRDefault="00B80174" w:rsidP="00B80174">
      <w:pPr>
        <w:ind w:leftChars="200" w:left="630" w:hangingChars="100" w:hanging="210"/>
      </w:pPr>
      <w:r>
        <w:rPr>
          <w:rFonts w:hint="eastAsia"/>
        </w:rPr>
        <w:t>ハ　埋め立てられた産業廃棄物への安定型産業廃棄物（令第六条第一項第三号</w:t>
      </w:r>
      <w:r>
        <w:t xml:space="preserve"> </w:t>
      </w:r>
      <w:r>
        <w:rPr>
          <w:rFonts w:hint="eastAsia"/>
        </w:rPr>
        <w:t>イに規定する安定型産業廃棄物をいう。以下同じ。）以外の廃棄物の付着又は混入の有無を確認するための水質検査に用いる浸透水（安定型産業廃棄物の層を通過した雨水等をいう。以下同じ。）を埋立地から採取することができる設備（以下「採取設備」という。）が設けられていること。</w:t>
      </w:r>
    </w:p>
    <w:p w14:paraId="644A2391" w14:textId="77777777" w:rsidR="00891E4B" w:rsidRDefault="00B80174" w:rsidP="00B80174">
      <w:pPr>
        <w:ind w:leftChars="100" w:left="420" w:hangingChars="100" w:hanging="210"/>
      </w:pPr>
      <w:r>
        <w:rPr>
          <w:rFonts w:hint="eastAsia"/>
        </w:rPr>
        <w:t>四　令第七条第十四号</w:t>
      </w:r>
      <w:r>
        <w:t xml:space="preserve"> </w:t>
      </w:r>
      <w:r>
        <w:rPr>
          <w:rFonts w:hint="eastAsia"/>
        </w:rPr>
        <w:t>ハに掲げる産業廃棄物の最終処分場（以下「管理型最終処分場」という。）にあつては、前条第一項第一号及び第四号から第六号までの規定の例によること。</w:t>
      </w:r>
    </w:p>
    <w:p w14:paraId="0B435C01" w14:textId="77777777" w:rsidR="00830D8A" w:rsidRDefault="00830D8A" w:rsidP="00B80174">
      <w:pPr>
        <w:ind w:leftChars="100" w:left="420" w:hangingChars="100" w:hanging="210"/>
      </w:pPr>
    </w:p>
    <w:p w14:paraId="322D3C2D" w14:textId="77777777" w:rsidR="00544648" w:rsidRDefault="00544648" w:rsidP="00544648">
      <w:pPr>
        <w:ind w:left="210" w:hangingChars="100" w:hanging="210"/>
      </w:pPr>
      <w:r>
        <w:rPr>
          <w:rFonts w:hint="eastAsia"/>
        </w:rPr>
        <w:t>３　法第十五条の二の六第三項</w:t>
      </w:r>
      <w:r>
        <w:t xml:space="preserve"> </w:t>
      </w:r>
      <w:r>
        <w:rPr>
          <w:rFonts w:hint="eastAsia"/>
        </w:rPr>
        <w:t>において準用する法第九条第五項</w:t>
      </w:r>
      <w:r>
        <w:t xml:space="preserve"> </w:t>
      </w:r>
      <w:r>
        <w:rPr>
          <w:rFonts w:hint="eastAsia"/>
        </w:rPr>
        <w:t>の規定による産業廃棄物の最終処分場の廃止の技術上の基準は、廃棄物が埋め立てられている産業廃棄物の最終処分場にあつては前条第三項第二号から第四号まで及び第十一号の規定の例によるほか、次のとおりとし、廃棄物が埋め立てられていない産業廃棄物の最終処分場にあつては廃棄物が埋め立てられていないこととする。</w:t>
      </w:r>
      <w:r>
        <w:t xml:space="preserve"> </w:t>
      </w:r>
    </w:p>
    <w:p w14:paraId="0C6A4B77" w14:textId="77777777" w:rsidR="00544648" w:rsidRDefault="00544648" w:rsidP="00544648">
      <w:pPr>
        <w:ind w:firstLineChars="100" w:firstLine="210"/>
      </w:pPr>
      <w:r>
        <w:rPr>
          <w:rFonts w:hint="eastAsia"/>
        </w:rPr>
        <w:t>一　遮断型最終処分場にあつては、前条第三項第五号の規定の例によるほか、次によること。</w:t>
      </w:r>
    </w:p>
    <w:p w14:paraId="64DDC1C9" w14:textId="77777777" w:rsidR="00544648" w:rsidRDefault="00544648" w:rsidP="00544648">
      <w:pPr>
        <w:ind w:leftChars="200" w:left="630" w:hangingChars="100" w:hanging="210"/>
      </w:pPr>
      <w:r>
        <w:rPr>
          <w:rFonts w:hint="eastAsia"/>
        </w:rPr>
        <w:t>イ　最終処分場が、第一項においてその例によることとされた前条第一項第三号及び第一項第二号ロに規定する技術上の基準に適合していないと認められないこと。</w:t>
      </w:r>
    </w:p>
    <w:p w14:paraId="2A6026A5" w14:textId="77777777" w:rsidR="00544648" w:rsidRDefault="00544648" w:rsidP="00544648">
      <w:pPr>
        <w:ind w:firstLineChars="200" w:firstLine="420"/>
      </w:pPr>
      <w:r>
        <w:rPr>
          <w:rFonts w:hint="eastAsia"/>
        </w:rPr>
        <w:t>ロ　前項第一号ニに規定する覆いにより埋立地が閉鎖されていること。</w:t>
      </w:r>
    </w:p>
    <w:p w14:paraId="45B74DA0" w14:textId="77777777" w:rsidR="00544648" w:rsidRDefault="00544648" w:rsidP="00544648">
      <w:pPr>
        <w:ind w:leftChars="200" w:left="630" w:hangingChars="100" w:hanging="210"/>
      </w:pPr>
      <w:r>
        <w:rPr>
          <w:rFonts w:hint="eastAsia"/>
        </w:rPr>
        <w:t>ハ　最終処分場に埋め立てられた産業廃棄物又は第一項第二号ロの規定により設けられた外周仕切設備について、環境大臣の定める措置が講じられていること。</w:t>
      </w:r>
    </w:p>
    <w:p w14:paraId="2429CA1E" w14:textId="77777777" w:rsidR="00544648" w:rsidRDefault="00544648" w:rsidP="00544648">
      <w:pPr>
        <w:ind w:leftChars="100" w:left="420" w:hangingChars="100" w:hanging="210"/>
      </w:pPr>
      <w:r>
        <w:rPr>
          <w:rFonts w:hint="eastAsia"/>
        </w:rPr>
        <w:t>二　安定型最終処分場にあつては、前条第三項第七号及び第八号の規定の例によるほか、次によること。</w:t>
      </w:r>
    </w:p>
    <w:p w14:paraId="723BB650" w14:textId="77777777" w:rsidR="00544648" w:rsidRDefault="00544648" w:rsidP="00544648">
      <w:pPr>
        <w:ind w:leftChars="200" w:left="630" w:hangingChars="100" w:hanging="210"/>
      </w:pPr>
      <w:r>
        <w:rPr>
          <w:rFonts w:hint="eastAsia"/>
        </w:rPr>
        <w:t>イ　最終処分場が、第一項においてその例によることとされた前条第一項第三号、第一項第三号においてその例によることとされた同条第一項第四号及び第一項第三号ロに規定する技術上の基準に適合していないと認められないこと。</w:t>
      </w:r>
    </w:p>
    <w:p w14:paraId="77CE1DF6" w14:textId="77777777" w:rsidR="00544648" w:rsidRDefault="00544648" w:rsidP="00544648">
      <w:pPr>
        <w:ind w:leftChars="200" w:left="630" w:hangingChars="100" w:hanging="210"/>
      </w:pPr>
      <w:r>
        <w:rPr>
          <w:rFonts w:hint="eastAsia"/>
        </w:rPr>
        <w:t>ロ　前項第二号ハの規定により採取された地下水の水質が、次に掲げる水質検査の結果、それぞれ次のいずれにも該当しないと認められること。ただし、同号ハの規定による水質検査の結果、水質の悪化（その原因が当該最終処分場以外にあることが明らかなものを除く。）が認められない場合においては、この限りでない。</w:t>
      </w:r>
    </w:p>
    <w:p w14:paraId="39604CCB" w14:textId="77777777" w:rsidR="00544648" w:rsidRDefault="00544648" w:rsidP="00544648">
      <w:pPr>
        <w:ind w:leftChars="200" w:left="840" w:hangingChars="200" w:hanging="420"/>
      </w:pPr>
      <w:r>
        <w:rPr>
          <w:rFonts w:hint="eastAsia"/>
        </w:rPr>
        <w:t>（１）前項第二号ハ（２）の規定による水質検査の結果、地下水の水質が、地下水等検査項目のいずれかについて当該地下水等検査項目に係る別表第二下欄に掲げる基準に現に適合していないこと。</w:t>
      </w:r>
    </w:p>
    <w:p w14:paraId="3E6EED46" w14:textId="77777777" w:rsidR="00544648" w:rsidRDefault="00544648" w:rsidP="00544648">
      <w:pPr>
        <w:ind w:leftChars="200" w:left="840" w:hangingChars="200" w:hanging="420"/>
      </w:pPr>
      <w:r>
        <w:rPr>
          <w:rFonts w:hint="eastAsia"/>
        </w:rPr>
        <w:t>（２）前項第二号ハの規定による水質検査の結果、当該検査によつて得られた数値の変動の状況に照らして、地下水の水質が、地下水等検査項目のいずれかについて当該地下水等検査項目に係る別表第二下欄に掲げる基準に適合しなくなるおそれがあること。</w:t>
      </w:r>
    </w:p>
    <w:p w14:paraId="409174FD" w14:textId="77777777" w:rsidR="00544648" w:rsidRDefault="00544648" w:rsidP="00544648">
      <w:pPr>
        <w:ind w:leftChars="200" w:left="630" w:hangingChars="100" w:hanging="210"/>
      </w:pPr>
      <w:r>
        <w:rPr>
          <w:rFonts w:hint="eastAsia"/>
        </w:rPr>
        <w:t>ハ　採取設備により採取された浸透水の水質について、次の表の上欄に掲げる項目について行われ</w:t>
      </w:r>
      <w:r>
        <w:rPr>
          <w:rFonts w:hint="eastAsia"/>
        </w:rPr>
        <w:lastRenderedPageBreak/>
        <w:t>た水質検査の結果、それぞれ同表の下欄に掲げる基準に適合していること。</w:t>
      </w:r>
    </w:p>
    <w:p w14:paraId="2741F098" w14:textId="77777777" w:rsidR="00544648" w:rsidRPr="00544648" w:rsidRDefault="00544648" w:rsidP="00544648">
      <w:pPr>
        <w:ind w:leftChars="200" w:left="63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544648" w14:paraId="1FF1BA47" w14:textId="77777777" w:rsidTr="00F8660C">
        <w:tc>
          <w:tcPr>
            <w:tcW w:w="4918" w:type="dxa"/>
            <w:shd w:val="clear" w:color="auto" w:fill="auto"/>
          </w:tcPr>
          <w:p w14:paraId="27B7B32A" w14:textId="77777777" w:rsidR="00544648" w:rsidRDefault="00544648" w:rsidP="00544648">
            <w:r>
              <w:rPr>
                <w:rFonts w:hint="eastAsia"/>
              </w:rPr>
              <w:t>地下水等検査項目</w:t>
            </w:r>
          </w:p>
        </w:tc>
        <w:tc>
          <w:tcPr>
            <w:tcW w:w="4918" w:type="dxa"/>
            <w:shd w:val="clear" w:color="auto" w:fill="auto"/>
          </w:tcPr>
          <w:p w14:paraId="4D6111B9" w14:textId="77777777" w:rsidR="00544648" w:rsidRDefault="00544648" w:rsidP="00544648">
            <w:r>
              <w:rPr>
                <w:rFonts w:hint="eastAsia"/>
              </w:rPr>
              <w:t>別表第二下欄に掲げる基準</w:t>
            </w:r>
          </w:p>
        </w:tc>
      </w:tr>
      <w:tr w:rsidR="00544648" w14:paraId="2FDF3C39" w14:textId="77777777" w:rsidTr="00F8660C">
        <w:tc>
          <w:tcPr>
            <w:tcW w:w="4918" w:type="dxa"/>
            <w:shd w:val="clear" w:color="auto" w:fill="auto"/>
          </w:tcPr>
          <w:p w14:paraId="178407FE" w14:textId="77777777" w:rsidR="00544648" w:rsidRDefault="00544648" w:rsidP="00544648">
            <w:r>
              <w:rPr>
                <w:rFonts w:hint="eastAsia"/>
              </w:rPr>
              <w:t>生物化学的酸素要求量</w:t>
            </w:r>
          </w:p>
        </w:tc>
        <w:tc>
          <w:tcPr>
            <w:tcW w:w="4918" w:type="dxa"/>
            <w:shd w:val="clear" w:color="auto" w:fill="auto"/>
          </w:tcPr>
          <w:p w14:paraId="3F3358B7" w14:textId="77777777" w:rsidR="00544648" w:rsidRDefault="00544648" w:rsidP="00544648">
            <w:r>
              <w:rPr>
                <w:rFonts w:hint="eastAsia"/>
              </w:rPr>
              <w:t>一リットルにつき二十ミリグラム以下</w:t>
            </w:r>
          </w:p>
        </w:tc>
      </w:tr>
    </w:tbl>
    <w:p w14:paraId="22162516" w14:textId="77777777" w:rsidR="00544648" w:rsidRDefault="00544648" w:rsidP="00544648">
      <w:pPr>
        <w:ind w:firstLineChars="200" w:firstLine="420"/>
      </w:pPr>
    </w:p>
    <w:p w14:paraId="46997051" w14:textId="77777777" w:rsidR="00544648" w:rsidRDefault="00544648" w:rsidP="00544648">
      <w:pPr>
        <w:ind w:firstLineChars="200" w:firstLine="420"/>
      </w:pPr>
      <w:r>
        <w:rPr>
          <w:rFonts w:hint="eastAsia"/>
        </w:rPr>
        <w:t>ニ　厚さがおおむね五十センチメートル以上の土砂等の覆いにより開口部が閉鎖されていること。</w:t>
      </w:r>
    </w:p>
    <w:p w14:paraId="0776BD87" w14:textId="77777777" w:rsidR="00C2116D" w:rsidRDefault="00544648" w:rsidP="00544648">
      <w:pPr>
        <w:ind w:leftChars="100" w:left="420" w:hangingChars="100" w:hanging="210"/>
      </w:pPr>
      <w:r>
        <w:rPr>
          <w:rFonts w:hint="eastAsia"/>
        </w:rPr>
        <w:t>三　管理型最終処分場にあつては、前条第三項第五号から第十号までの規定の例によるほか、第一項においてその例によることとされた同条第一項第三号及び第一項第四号においてその例によることとされた同条第一項第四号から第六号まで（第五号ホ及びヘを除く。）に規定する技術上の基準に適合していないと認められないこと。</w:t>
      </w:r>
    </w:p>
    <w:p w14:paraId="71519F4F" w14:textId="77777777" w:rsidR="00964175" w:rsidRPr="00964175" w:rsidRDefault="00964175" w:rsidP="00073950">
      <w:pPr>
        <w:ind w:right="840"/>
      </w:pPr>
    </w:p>
    <w:sectPr w:rsidR="00964175" w:rsidRPr="00964175" w:rsidSect="00211F67">
      <w:pgSz w:w="11906" w:h="16838" w:code="9"/>
      <w:pgMar w:top="1260" w:right="1134" w:bottom="90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B0FAF"/>
    <w:multiLevelType w:val="hybridMultilevel"/>
    <w:tmpl w:val="BE902A62"/>
    <w:lvl w:ilvl="0" w:tplc="5AFCDF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089"/>
    <w:rsid w:val="00013CAD"/>
    <w:rsid w:val="00073950"/>
    <w:rsid w:val="0013305F"/>
    <w:rsid w:val="00152B08"/>
    <w:rsid w:val="001E6806"/>
    <w:rsid w:val="00211F67"/>
    <w:rsid w:val="00217D29"/>
    <w:rsid w:val="0022689E"/>
    <w:rsid w:val="003C6166"/>
    <w:rsid w:val="003C7A11"/>
    <w:rsid w:val="004833B0"/>
    <w:rsid w:val="00544648"/>
    <w:rsid w:val="007A679C"/>
    <w:rsid w:val="007D7843"/>
    <w:rsid w:val="00802C0D"/>
    <w:rsid w:val="00830D8A"/>
    <w:rsid w:val="00891E4B"/>
    <w:rsid w:val="008963D0"/>
    <w:rsid w:val="00964175"/>
    <w:rsid w:val="00964C76"/>
    <w:rsid w:val="009D5E9C"/>
    <w:rsid w:val="00A72274"/>
    <w:rsid w:val="00AA318D"/>
    <w:rsid w:val="00B00FF1"/>
    <w:rsid w:val="00B624B0"/>
    <w:rsid w:val="00B76399"/>
    <w:rsid w:val="00B80174"/>
    <w:rsid w:val="00C2116D"/>
    <w:rsid w:val="00C34CA5"/>
    <w:rsid w:val="00ED6089"/>
    <w:rsid w:val="00F37F3D"/>
    <w:rsid w:val="00F8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97BA13"/>
  <w14:defaultImageDpi w14:val="0"/>
  <w15:docId w15:val="{4A7CB95C-40FE-4311-A4AE-5CDDFCE4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46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49991">
      <w:marLeft w:val="0"/>
      <w:marRight w:val="0"/>
      <w:marTop w:val="0"/>
      <w:marBottom w:val="0"/>
      <w:divBdr>
        <w:top w:val="none" w:sz="0" w:space="0" w:color="auto"/>
        <w:left w:val="none" w:sz="0" w:space="0" w:color="auto"/>
        <w:bottom w:val="none" w:sz="0" w:space="0" w:color="auto"/>
        <w:right w:val="none" w:sz="0" w:space="0" w:color="auto"/>
      </w:divBdr>
      <w:divsChild>
        <w:div w:id="1990550000">
          <w:marLeft w:val="240"/>
          <w:marRight w:val="0"/>
          <w:marTop w:val="0"/>
          <w:marBottom w:val="0"/>
          <w:divBdr>
            <w:top w:val="none" w:sz="0" w:space="0" w:color="auto"/>
            <w:left w:val="none" w:sz="0" w:space="0" w:color="auto"/>
            <w:bottom w:val="none" w:sz="0" w:space="0" w:color="auto"/>
            <w:right w:val="none" w:sz="0" w:space="0" w:color="auto"/>
          </w:divBdr>
          <w:divsChild>
            <w:div w:id="1990549979">
              <w:marLeft w:val="240"/>
              <w:marRight w:val="0"/>
              <w:marTop w:val="0"/>
              <w:marBottom w:val="0"/>
              <w:divBdr>
                <w:top w:val="none" w:sz="0" w:space="0" w:color="auto"/>
                <w:left w:val="none" w:sz="0" w:space="0" w:color="auto"/>
                <w:bottom w:val="none" w:sz="0" w:space="0" w:color="auto"/>
                <w:right w:val="none" w:sz="0" w:space="0" w:color="auto"/>
              </w:divBdr>
            </w:div>
            <w:div w:id="1990549982">
              <w:marLeft w:val="240"/>
              <w:marRight w:val="0"/>
              <w:marTop w:val="0"/>
              <w:marBottom w:val="0"/>
              <w:divBdr>
                <w:top w:val="none" w:sz="0" w:space="0" w:color="auto"/>
                <w:left w:val="none" w:sz="0" w:space="0" w:color="auto"/>
                <w:bottom w:val="none" w:sz="0" w:space="0" w:color="auto"/>
                <w:right w:val="none" w:sz="0" w:space="0" w:color="auto"/>
              </w:divBdr>
            </w:div>
            <w:div w:id="1990549986">
              <w:marLeft w:val="240"/>
              <w:marRight w:val="0"/>
              <w:marTop w:val="0"/>
              <w:marBottom w:val="0"/>
              <w:divBdr>
                <w:top w:val="none" w:sz="0" w:space="0" w:color="auto"/>
                <w:left w:val="none" w:sz="0" w:space="0" w:color="auto"/>
                <w:bottom w:val="none" w:sz="0" w:space="0" w:color="auto"/>
                <w:right w:val="none" w:sz="0" w:space="0" w:color="auto"/>
              </w:divBdr>
              <w:divsChild>
                <w:div w:id="1990549984">
                  <w:marLeft w:val="240"/>
                  <w:marRight w:val="0"/>
                  <w:marTop w:val="0"/>
                  <w:marBottom w:val="0"/>
                  <w:divBdr>
                    <w:top w:val="none" w:sz="0" w:space="0" w:color="auto"/>
                    <w:left w:val="none" w:sz="0" w:space="0" w:color="auto"/>
                    <w:bottom w:val="none" w:sz="0" w:space="0" w:color="auto"/>
                    <w:right w:val="none" w:sz="0" w:space="0" w:color="auto"/>
                  </w:divBdr>
                </w:div>
                <w:div w:id="1990549988">
                  <w:marLeft w:val="240"/>
                  <w:marRight w:val="0"/>
                  <w:marTop w:val="0"/>
                  <w:marBottom w:val="0"/>
                  <w:divBdr>
                    <w:top w:val="none" w:sz="0" w:space="0" w:color="auto"/>
                    <w:left w:val="none" w:sz="0" w:space="0" w:color="auto"/>
                    <w:bottom w:val="none" w:sz="0" w:space="0" w:color="auto"/>
                    <w:right w:val="none" w:sz="0" w:space="0" w:color="auto"/>
                  </w:divBdr>
                </w:div>
              </w:divsChild>
            </w:div>
            <w:div w:id="1990549989">
              <w:marLeft w:val="240"/>
              <w:marRight w:val="0"/>
              <w:marTop w:val="0"/>
              <w:marBottom w:val="0"/>
              <w:divBdr>
                <w:top w:val="none" w:sz="0" w:space="0" w:color="auto"/>
                <w:left w:val="none" w:sz="0" w:space="0" w:color="auto"/>
                <w:bottom w:val="none" w:sz="0" w:space="0" w:color="auto"/>
                <w:right w:val="none" w:sz="0" w:space="0" w:color="auto"/>
              </w:divBdr>
            </w:div>
            <w:div w:id="1990549990">
              <w:marLeft w:val="240"/>
              <w:marRight w:val="0"/>
              <w:marTop w:val="0"/>
              <w:marBottom w:val="0"/>
              <w:divBdr>
                <w:top w:val="none" w:sz="0" w:space="0" w:color="auto"/>
                <w:left w:val="none" w:sz="0" w:space="0" w:color="auto"/>
                <w:bottom w:val="none" w:sz="0" w:space="0" w:color="auto"/>
                <w:right w:val="none" w:sz="0" w:space="0" w:color="auto"/>
              </w:divBdr>
              <w:divsChild>
                <w:div w:id="1990549977">
                  <w:marLeft w:val="240"/>
                  <w:marRight w:val="0"/>
                  <w:marTop w:val="0"/>
                  <w:marBottom w:val="0"/>
                  <w:divBdr>
                    <w:top w:val="none" w:sz="0" w:space="0" w:color="auto"/>
                    <w:left w:val="none" w:sz="0" w:space="0" w:color="auto"/>
                    <w:bottom w:val="none" w:sz="0" w:space="0" w:color="auto"/>
                    <w:right w:val="none" w:sz="0" w:space="0" w:color="auto"/>
                  </w:divBdr>
                </w:div>
                <w:div w:id="1990549978">
                  <w:marLeft w:val="240"/>
                  <w:marRight w:val="0"/>
                  <w:marTop w:val="0"/>
                  <w:marBottom w:val="0"/>
                  <w:divBdr>
                    <w:top w:val="none" w:sz="0" w:space="0" w:color="auto"/>
                    <w:left w:val="none" w:sz="0" w:space="0" w:color="auto"/>
                    <w:bottom w:val="none" w:sz="0" w:space="0" w:color="auto"/>
                    <w:right w:val="none" w:sz="0" w:space="0" w:color="auto"/>
                  </w:divBdr>
                </w:div>
                <w:div w:id="1990549980">
                  <w:marLeft w:val="480"/>
                  <w:marRight w:val="0"/>
                  <w:marTop w:val="0"/>
                  <w:marBottom w:val="0"/>
                  <w:divBdr>
                    <w:top w:val="none" w:sz="0" w:space="0" w:color="auto"/>
                    <w:left w:val="none" w:sz="0" w:space="0" w:color="auto"/>
                    <w:bottom w:val="none" w:sz="0" w:space="0" w:color="auto"/>
                    <w:right w:val="none" w:sz="0" w:space="0" w:color="auto"/>
                  </w:divBdr>
                </w:div>
                <w:div w:id="1990549981">
                  <w:marLeft w:val="480"/>
                  <w:marRight w:val="0"/>
                  <w:marTop w:val="0"/>
                  <w:marBottom w:val="0"/>
                  <w:divBdr>
                    <w:top w:val="none" w:sz="0" w:space="0" w:color="auto"/>
                    <w:left w:val="none" w:sz="0" w:space="0" w:color="auto"/>
                    <w:bottom w:val="none" w:sz="0" w:space="0" w:color="auto"/>
                    <w:right w:val="none" w:sz="0" w:space="0" w:color="auto"/>
                  </w:divBdr>
                </w:div>
                <w:div w:id="1990549983">
                  <w:marLeft w:val="480"/>
                  <w:marRight w:val="0"/>
                  <w:marTop w:val="0"/>
                  <w:marBottom w:val="0"/>
                  <w:divBdr>
                    <w:top w:val="none" w:sz="0" w:space="0" w:color="auto"/>
                    <w:left w:val="none" w:sz="0" w:space="0" w:color="auto"/>
                    <w:bottom w:val="none" w:sz="0" w:space="0" w:color="auto"/>
                    <w:right w:val="none" w:sz="0" w:space="0" w:color="auto"/>
                  </w:divBdr>
                </w:div>
                <w:div w:id="1990549985">
                  <w:marLeft w:val="240"/>
                  <w:marRight w:val="0"/>
                  <w:marTop w:val="0"/>
                  <w:marBottom w:val="0"/>
                  <w:divBdr>
                    <w:top w:val="none" w:sz="0" w:space="0" w:color="auto"/>
                    <w:left w:val="none" w:sz="0" w:space="0" w:color="auto"/>
                    <w:bottom w:val="none" w:sz="0" w:space="0" w:color="auto"/>
                    <w:right w:val="none" w:sz="0" w:space="0" w:color="auto"/>
                  </w:divBdr>
                </w:div>
                <w:div w:id="1990549987">
                  <w:marLeft w:val="480"/>
                  <w:marRight w:val="0"/>
                  <w:marTop w:val="0"/>
                  <w:marBottom w:val="0"/>
                  <w:divBdr>
                    <w:top w:val="none" w:sz="0" w:space="0" w:color="auto"/>
                    <w:left w:val="none" w:sz="0" w:space="0" w:color="auto"/>
                    <w:bottom w:val="none" w:sz="0" w:space="0" w:color="auto"/>
                    <w:right w:val="none" w:sz="0" w:space="0" w:color="auto"/>
                  </w:divBdr>
                </w:div>
                <w:div w:id="1990549992">
                  <w:marLeft w:val="240"/>
                  <w:marRight w:val="0"/>
                  <w:marTop w:val="0"/>
                  <w:marBottom w:val="0"/>
                  <w:divBdr>
                    <w:top w:val="none" w:sz="0" w:space="0" w:color="auto"/>
                    <w:left w:val="none" w:sz="0" w:space="0" w:color="auto"/>
                    <w:bottom w:val="none" w:sz="0" w:space="0" w:color="auto"/>
                    <w:right w:val="none" w:sz="0" w:space="0" w:color="auto"/>
                  </w:divBdr>
                </w:div>
                <w:div w:id="1990549993">
                  <w:marLeft w:val="720"/>
                  <w:marRight w:val="0"/>
                  <w:marTop w:val="0"/>
                  <w:marBottom w:val="0"/>
                  <w:divBdr>
                    <w:top w:val="none" w:sz="0" w:space="0" w:color="auto"/>
                    <w:left w:val="none" w:sz="0" w:space="0" w:color="auto"/>
                    <w:bottom w:val="none" w:sz="0" w:space="0" w:color="auto"/>
                    <w:right w:val="none" w:sz="0" w:space="0" w:color="auto"/>
                  </w:divBdr>
                </w:div>
                <w:div w:id="1990549995">
                  <w:marLeft w:val="720"/>
                  <w:marRight w:val="0"/>
                  <w:marTop w:val="0"/>
                  <w:marBottom w:val="0"/>
                  <w:divBdr>
                    <w:top w:val="none" w:sz="0" w:space="0" w:color="auto"/>
                    <w:left w:val="none" w:sz="0" w:space="0" w:color="auto"/>
                    <w:bottom w:val="none" w:sz="0" w:space="0" w:color="auto"/>
                    <w:right w:val="none" w:sz="0" w:space="0" w:color="auto"/>
                  </w:divBdr>
                </w:div>
                <w:div w:id="1990549996">
                  <w:marLeft w:val="480"/>
                  <w:marRight w:val="0"/>
                  <w:marTop w:val="0"/>
                  <w:marBottom w:val="0"/>
                  <w:divBdr>
                    <w:top w:val="none" w:sz="0" w:space="0" w:color="auto"/>
                    <w:left w:val="none" w:sz="0" w:space="0" w:color="auto"/>
                    <w:bottom w:val="none" w:sz="0" w:space="0" w:color="auto"/>
                    <w:right w:val="none" w:sz="0" w:space="0" w:color="auto"/>
                  </w:divBdr>
                </w:div>
                <w:div w:id="1990549997">
                  <w:marLeft w:val="480"/>
                  <w:marRight w:val="0"/>
                  <w:marTop w:val="0"/>
                  <w:marBottom w:val="0"/>
                  <w:divBdr>
                    <w:top w:val="none" w:sz="0" w:space="0" w:color="auto"/>
                    <w:left w:val="none" w:sz="0" w:space="0" w:color="auto"/>
                    <w:bottom w:val="none" w:sz="0" w:space="0" w:color="auto"/>
                    <w:right w:val="none" w:sz="0" w:space="0" w:color="auto"/>
                  </w:divBdr>
                </w:div>
                <w:div w:id="1990549998">
                  <w:marLeft w:val="480"/>
                  <w:marRight w:val="0"/>
                  <w:marTop w:val="0"/>
                  <w:marBottom w:val="0"/>
                  <w:divBdr>
                    <w:top w:val="none" w:sz="0" w:space="0" w:color="auto"/>
                    <w:left w:val="none" w:sz="0" w:space="0" w:color="auto"/>
                    <w:bottom w:val="none" w:sz="0" w:space="0" w:color="auto"/>
                    <w:right w:val="none" w:sz="0" w:space="0" w:color="auto"/>
                  </w:divBdr>
                </w:div>
                <w:div w:id="1990549999">
                  <w:marLeft w:val="720"/>
                  <w:marRight w:val="0"/>
                  <w:marTop w:val="0"/>
                  <w:marBottom w:val="0"/>
                  <w:divBdr>
                    <w:top w:val="none" w:sz="0" w:space="0" w:color="auto"/>
                    <w:left w:val="none" w:sz="0" w:space="0" w:color="auto"/>
                    <w:bottom w:val="none" w:sz="0" w:space="0" w:color="auto"/>
                    <w:right w:val="none" w:sz="0" w:space="0" w:color="auto"/>
                  </w:divBdr>
                </w:div>
                <w:div w:id="1990550001">
                  <w:marLeft w:val="240"/>
                  <w:marRight w:val="0"/>
                  <w:marTop w:val="0"/>
                  <w:marBottom w:val="0"/>
                  <w:divBdr>
                    <w:top w:val="none" w:sz="0" w:space="0" w:color="auto"/>
                    <w:left w:val="none" w:sz="0" w:space="0" w:color="auto"/>
                    <w:bottom w:val="none" w:sz="0" w:space="0" w:color="auto"/>
                    <w:right w:val="none" w:sz="0" w:space="0" w:color="auto"/>
                  </w:divBdr>
                </w:div>
                <w:div w:id="1990550002">
                  <w:marLeft w:val="240"/>
                  <w:marRight w:val="0"/>
                  <w:marTop w:val="0"/>
                  <w:marBottom w:val="0"/>
                  <w:divBdr>
                    <w:top w:val="none" w:sz="0" w:space="0" w:color="auto"/>
                    <w:left w:val="none" w:sz="0" w:space="0" w:color="auto"/>
                    <w:bottom w:val="none" w:sz="0" w:space="0" w:color="auto"/>
                    <w:right w:val="none" w:sz="0" w:space="0" w:color="auto"/>
                  </w:divBdr>
                </w:div>
                <w:div w:id="1990550003">
                  <w:marLeft w:val="240"/>
                  <w:marRight w:val="0"/>
                  <w:marTop w:val="0"/>
                  <w:marBottom w:val="0"/>
                  <w:divBdr>
                    <w:top w:val="none" w:sz="0" w:space="0" w:color="auto"/>
                    <w:left w:val="none" w:sz="0" w:space="0" w:color="auto"/>
                    <w:bottom w:val="none" w:sz="0" w:space="0" w:color="auto"/>
                    <w:right w:val="none" w:sz="0" w:space="0" w:color="auto"/>
                  </w:divBdr>
                </w:div>
              </w:divsChild>
            </w:div>
            <w:div w:id="1990549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6302</Characters>
  <Application>Microsoft Office Word</Application>
  <DocSecurity>0</DocSecurity>
  <Lines>52</Lines>
  <Paragraphs>14</Paragraphs>
  <ScaleCrop>false</ScaleCrop>
  <Company>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原 聡志</cp:lastModifiedBy>
  <cp:revision>2</cp:revision>
  <cp:lastPrinted>2013-03-19T02:23:00Z</cp:lastPrinted>
  <dcterms:created xsi:type="dcterms:W3CDTF">2022-03-03T06:35:00Z</dcterms:created>
  <dcterms:modified xsi:type="dcterms:W3CDTF">2022-03-03T06:35:00Z</dcterms:modified>
</cp:coreProperties>
</file>